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57A" w14:textId="1E832231" w:rsidR="00F710AC" w:rsidRPr="007508E2" w:rsidRDefault="00F710AC" w:rsidP="00F710A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30A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Title:</w:t>
      </w:r>
      <w:r w:rsidRPr="00F30A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In the World of Big Data, Small Effects Can Still Matter: A Reply to Boyce et al.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7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2016</w:t>
      </w:r>
    </w:p>
    <w:p w14:paraId="515A6E8F" w14:textId="0E81416D" w:rsidR="00F710AC" w:rsidRPr="00F30AB4" w:rsidRDefault="00F710AC" w:rsidP="00F710AC">
      <w:pPr>
        <w:pStyle w:val="Authors"/>
        <w:spacing w:before="0" w:after="240"/>
        <w:jc w:val="left"/>
      </w:pPr>
      <w:r w:rsidRPr="00F30AB4">
        <w:rPr>
          <w:b/>
        </w:rPr>
        <w:t>Authors:</w:t>
      </w:r>
      <w:r w:rsidRPr="00F30AB4">
        <w:t xml:space="preserve"> Sandra Matz</w:t>
      </w:r>
      <w:r w:rsidRPr="00F30AB4">
        <w:rPr>
          <w:vertAlign w:val="superscript"/>
        </w:rPr>
        <w:t>1</w:t>
      </w:r>
      <w:r w:rsidRPr="00F30AB4">
        <w:t xml:space="preserve">, </w:t>
      </w:r>
      <w:r>
        <w:t>Joe Gladstone</w:t>
      </w:r>
      <w:r w:rsidRPr="00F30AB4">
        <w:rPr>
          <w:vertAlign w:val="superscript"/>
        </w:rPr>
        <w:t>2</w:t>
      </w:r>
      <w:r w:rsidRPr="00F30AB4">
        <w:t>, David Stillwell</w:t>
      </w:r>
      <w:r>
        <w:rPr>
          <w:vertAlign w:val="superscript"/>
        </w:rPr>
        <w:t>3</w:t>
      </w:r>
    </w:p>
    <w:p w14:paraId="155041CD" w14:textId="77777777" w:rsidR="00F710AC" w:rsidRPr="00F30AB4" w:rsidRDefault="00F710AC" w:rsidP="00F710AC">
      <w:pPr>
        <w:pStyle w:val="Paragraph"/>
        <w:spacing w:before="0"/>
        <w:ind w:firstLine="0"/>
        <w:rPr>
          <w:b/>
        </w:rPr>
      </w:pPr>
      <w:r w:rsidRPr="00F30AB4">
        <w:rPr>
          <w:b/>
        </w:rPr>
        <w:t xml:space="preserve">Affiliations: </w:t>
      </w:r>
    </w:p>
    <w:p w14:paraId="42F9092C" w14:textId="77777777" w:rsidR="00F710AC" w:rsidRPr="00F30AB4" w:rsidRDefault="00F710AC" w:rsidP="00F710AC">
      <w:pPr>
        <w:pStyle w:val="Paragraph"/>
        <w:spacing w:before="0"/>
        <w:ind w:firstLine="0"/>
      </w:pPr>
      <w:r w:rsidRPr="00F30AB4">
        <w:t xml:space="preserve">1 Department of Psychology, University of Cambridge, Cambridge, CB2 3EB, UK. </w:t>
      </w:r>
    </w:p>
    <w:p w14:paraId="29AD2424" w14:textId="3875B3FF" w:rsidR="006958BB" w:rsidRPr="007E73EF" w:rsidRDefault="006958BB" w:rsidP="006958BB">
      <w:pPr>
        <w:pStyle w:val="Paragraph"/>
        <w:ind w:firstLine="0"/>
      </w:pPr>
      <w:r>
        <w:t>2 UCL School of Management, London, RM NE3, UK</w:t>
      </w:r>
    </w:p>
    <w:p w14:paraId="66E1C38F" w14:textId="34E641FD" w:rsidR="00F710AC" w:rsidRDefault="006958BB" w:rsidP="00F710AC">
      <w:pPr>
        <w:pStyle w:val="Paragraph"/>
        <w:ind w:firstLine="0"/>
      </w:pPr>
      <w:r>
        <w:t>3</w:t>
      </w:r>
      <w:r w:rsidR="00F710AC" w:rsidRPr="00F30AB4">
        <w:t xml:space="preserve"> </w:t>
      </w:r>
      <w:r w:rsidR="00F710AC">
        <w:t xml:space="preserve">Cambridge Judge Business School, University of Cambridge, </w:t>
      </w:r>
      <w:r w:rsidR="00F710AC" w:rsidRPr="00F30AB4">
        <w:t xml:space="preserve">Cambridge, </w:t>
      </w:r>
      <w:r w:rsidR="00F710AC">
        <w:t>CB2 1AG, UK</w:t>
      </w:r>
    </w:p>
    <w:p w14:paraId="4980A946" w14:textId="77777777" w:rsidR="006958BB" w:rsidRDefault="006958BB" w:rsidP="00F710AC">
      <w:pPr>
        <w:pStyle w:val="Paragraph"/>
        <w:ind w:firstLine="0"/>
      </w:pPr>
    </w:p>
    <w:p w14:paraId="023630F5" w14:textId="77777777" w:rsidR="00F710AC" w:rsidRPr="00F30AB4" w:rsidRDefault="00F710AC" w:rsidP="00F710AC">
      <w:pPr>
        <w:pStyle w:val="Paragraph"/>
        <w:spacing w:before="0" w:after="240"/>
        <w:ind w:firstLine="0"/>
      </w:pPr>
      <w:r w:rsidRPr="00F30AB4">
        <w:rPr>
          <w:b/>
        </w:rPr>
        <w:t>Correspondence to:</w:t>
      </w:r>
      <w:r w:rsidRPr="00F30AB4">
        <w:t xml:space="preserve"> </w:t>
      </w:r>
      <w:hyperlink r:id="rId8" w:history="1">
        <w:r w:rsidRPr="00F30AB4">
          <w:t>sm917@cam.ac.uk</w:t>
        </w:r>
      </w:hyperlink>
      <w:r w:rsidRPr="00F30AB4">
        <w:t xml:space="preserve">; +447858786958; </w:t>
      </w:r>
      <w:r>
        <w:t>Department of Psychology</w:t>
      </w:r>
      <w:r w:rsidRPr="00F30AB4">
        <w:t xml:space="preserve">, </w:t>
      </w:r>
      <w:r>
        <w:t xml:space="preserve">Downing Street, </w:t>
      </w:r>
      <w:r w:rsidRPr="00F30AB4">
        <w:t xml:space="preserve">Cambridge, CB2 </w:t>
      </w:r>
      <w:r>
        <w:t>3EB</w:t>
      </w:r>
      <w:r w:rsidRPr="00F30AB4">
        <w:t xml:space="preserve">, UK. </w:t>
      </w:r>
    </w:p>
    <w:p w14:paraId="7400E843" w14:textId="55A1D957" w:rsidR="00F710AC" w:rsidRPr="00F30AB4" w:rsidRDefault="00F710AC" w:rsidP="00F710AC">
      <w:pPr>
        <w:pStyle w:val="Paragraph"/>
        <w:spacing w:before="0" w:after="240"/>
        <w:ind w:firstLine="0"/>
      </w:pPr>
      <w:r w:rsidRPr="00F30AB4">
        <w:rPr>
          <w:b/>
        </w:rPr>
        <w:t>Keywords:</w:t>
      </w:r>
      <w:r w:rsidRPr="00F30AB4">
        <w:t xml:space="preserve"> </w:t>
      </w:r>
      <w:r>
        <w:t>effect size, happiness, consumption, psychological fit, Big Five personality</w:t>
      </w:r>
    </w:p>
    <w:p w14:paraId="007E641F" w14:textId="77777777" w:rsidR="00F710AC" w:rsidRDefault="00F710AC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br w:type="page"/>
      </w:r>
    </w:p>
    <w:p w14:paraId="0B30E796" w14:textId="52058E93" w:rsidR="00912DAB" w:rsidRPr="007508E2" w:rsidRDefault="008A4171" w:rsidP="00D71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We make three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poi</w:t>
      </w:r>
      <w:r w:rsidR="00206C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nts in response to Boyce, Daly, Hounkpatin and Wood 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(2016). First, we </w:t>
      </w:r>
      <w:r w:rsidR="00E43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clarify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misunderstanding of the goal of our analyses</w:t>
      </w:r>
      <w:r w:rsidR="00E43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was to investigate the links between life satisfaction and spending patterns, </w:t>
      </w:r>
      <w:r w:rsidR="001E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rather than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spending volume. Second, we </w:t>
      </w:r>
      <w:r w:rsidR="00E450DC"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 w:rsidR="00E45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a simulation study to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demonstrate that our results are not driven by the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proposed 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statistical artefact.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Finally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</w:t>
      </w:r>
      <w:r w:rsidR="00912DA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discuss </w:t>
      </w:r>
      <w:r w:rsidR="00E63639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broader issue of </w:t>
      </w:r>
      <w:r w:rsidR="00912DA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>why</w:t>
      </w:r>
      <w:r w:rsidR="00E63639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12DA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world of big data, small but reliable effect sizes </w:t>
      </w:r>
      <w:r w:rsidR="00E63639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>can be</w:t>
      </w:r>
      <w:r w:rsidR="00912DA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valuable</w:t>
      </w:r>
      <w:r w:rsidR="00912DAB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60B922A" w14:textId="282E62F5" w:rsidR="00E63639" w:rsidRDefault="00E63639" w:rsidP="00D7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972AD9" w14:textId="19BBC91F" w:rsidR="00E43B1C" w:rsidRPr="00F710AC" w:rsidRDefault="008A4171" w:rsidP="00D7107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Our goal is to study spending patterns, not spending volume.</w:t>
      </w:r>
    </w:p>
    <w:p w14:paraId="7AE138A2" w14:textId="58BD839C" w:rsidR="000868DE" w:rsidRDefault="00E43B1C" w:rsidP="000A46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Boyce et al.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argue</w:t>
      </w:r>
      <w:r w:rsidRPr="00106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our findings do not provide sufficient evidence for the contention that</w:t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spending</w:t>
      </w:r>
      <w:r w:rsidRPr="00106F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6F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more</w:t>
      </w:r>
      <w:r w:rsidRPr="00106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money buys happiness, when that money is spent on products and services that fit a person’s personality.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agree, because </w:t>
      </w:r>
      <w:r w:rsidRPr="00106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is not the argument we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</w:t>
      </w:r>
      <w:r w:rsidR="003366E9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06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paper. </w:t>
      </w:r>
      <w:r w:rsidR="00B81038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="00B81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argument </w:t>
      </w:r>
      <w:r w:rsidR="00B81038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>is that spending the money one already has on products and services which match one’s personality (and thus psychological needs) results in greater ha</w:t>
      </w:r>
      <w:r w:rsidR="008A4171">
        <w:rPr>
          <w:rFonts w:ascii="Times New Roman" w:eastAsia="Times New Roman" w:hAnsi="Times New Roman" w:cs="Times New Roman"/>
          <w:sz w:val="24"/>
          <w:szCs w:val="24"/>
          <w:lang w:val="en-US"/>
        </w:rPr>
        <w:t>ppiness. That is, we studied</w:t>
      </w:r>
      <w:r w:rsidR="00B81038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spending</w:t>
      </w:r>
      <w:r w:rsidR="008A41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4171" w:rsidRPr="009247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patterns</w:t>
      </w:r>
      <w:r w:rsidR="00B81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(what we buy)</w:t>
      </w:r>
      <w:r w:rsidR="00B81038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rather than </w:t>
      </w:r>
      <w:r w:rsidR="008A41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spending </w:t>
      </w:r>
      <w:r w:rsidR="00B81038" w:rsidRPr="009247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volume</w:t>
      </w:r>
      <w:r w:rsidR="00B81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(how much of it we buy). </w:t>
      </w:r>
      <w:r w:rsidR="007F4C13">
        <w:rPr>
          <w:rFonts w:ascii="Times New Roman" w:hAnsi="Times New Roman" w:cs="Times New Roman"/>
          <w:sz w:val="24"/>
          <w:szCs w:val="24"/>
          <w:lang w:val="en-US"/>
        </w:rPr>
        <w:t>In fact</w:t>
      </w:r>
      <w:r w:rsidR="007F4C13" w:rsidRPr="00106FF8">
        <w:rPr>
          <w:rFonts w:ascii="Times New Roman" w:hAnsi="Times New Roman" w:cs="Times New Roman"/>
          <w:sz w:val="24"/>
          <w:szCs w:val="24"/>
          <w:lang w:val="en-US"/>
        </w:rPr>
        <w:t>, we emphasized the relative unimportance of “spending more money” in our measures, analyses, and study designs. First, we consider</w:t>
      </w:r>
      <w:r w:rsidR="007F4C1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F4C13" w:rsidRPr="00106FF8">
        <w:rPr>
          <w:rFonts w:ascii="Times New Roman" w:hAnsi="Times New Roman" w:cs="Times New Roman"/>
          <w:sz w:val="24"/>
          <w:szCs w:val="24"/>
          <w:lang w:val="en-US"/>
        </w:rPr>
        <w:t xml:space="preserve"> the fact that many small purchases can result in greater happiness than a few large ones (</w:t>
      </w:r>
      <w:r w:rsidR="000868DE">
        <w:rPr>
          <w:rFonts w:ascii="Times New Roman" w:hAnsi="Times New Roman" w:cs="Times New Roman"/>
          <w:sz w:val="24"/>
          <w:szCs w:val="24"/>
          <w:lang w:val="en-US"/>
        </w:rPr>
        <w:t>e.g. Nelson and Meyvis, 2008</w:t>
      </w:r>
      <w:r w:rsidR="007F4C13" w:rsidRPr="00106FF8">
        <w:rPr>
          <w:rFonts w:ascii="Times New Roman" w:hAnsi="Times New Roman" w:cs="Times New Roman"/>
          <w:sz w:val="24"/>
          <w:szCs w:val="24"/>
          <w:lang w:val="en-US"/>
        </w:rPr>
        <w:t xml:space="preserve">) in the calculation of the person-basket match variable itself. Rather than weighting all spending categories by the amount spent, we assigned an equal weight to each of them. Second, we highlighted that the </w:t>
      </w:r>
      <w:r w:rsidR="000868DE">
        <w:rPr>
          <w:rFonts w:ascii="Times New Roman" w:hAnsi="Times New Roman" w:cs="Times New Roman"/>
          <w:sz w:val="24"/>
          <w:szCs w:val="24"/>
          <w:lang w:val="en-US"/>
        </w:rPr>
        <w:t>coefficients for</w:t>
      </w:r>
      <w:r w:rsidR="007F4C13" w:rsidRPr="00106FF8">
        <w:rPr>
          <w:rFonts w:ascii="Times New Roman" w:hAnsi="Times New Roman" w:cs="Times New Roman"/>
          <w:sz w:val="24"/>
          <w:szCs w:val="24"/>
          <w:lang w:val="en-US"/>
        </w:rPr>
        <w:t xml:space="preserve"> income and total spending on life-satisfaction are non-significant (Table 3, page 6), suggesting that earning or spending </w:t>
      </w:r>
      <w:r w:rsidR="007F4C13" w:rsidRPr="00106FF8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7F4C13" w:rsidRPr="00106FF8">
        <w:rPr>
          <w:rFonts w:ascii="Times New Roman" w:hAnsi="Times New Roman" w:cs="Times New Roman"/>
          <w:sz w:val="24"/>
          <w:szCs w:val="24"/>
          <w:lang w:val="en-US"/>
        </w:rPr>
        <w:t xml:space="preserve"> money does not impact life satisfaction and happiness. Finally, we did not vary the amount spent in our experiment, but instead focused exclusively on manipulating the spending pattern (</w:t>
      </w:r>
      <w:r w:rsidR="000868DE">
        <w:rPr>
          <w:rFonts w:ascii="Times New Roman" w:hAnsi="Times New Roman" w:cs="Times New Roman"/>
          <w:sz w:val="24"/>
          <w:szCs w:val="24"/>
          <w:lang w:val="en-US"/>
        </w:rPr>
        <w:t>i.e. whether or not the voucher fitted the personality of the recipient).</w:t>
      </w:r>
      <w:r w:rsidR="000868DE" w:rsidRPr="00106FF8" w:rsidDel="00086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A7727E" w14:textId="575731BC" w:rsidR="007F4C13" w:rsidRDefault="007F4C13" w:rsidP="000A46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06F097" w14:textId="77777777" w:rsidR="00F710AC" w:rsidRDefault="00F710AC" w:rsidP="00D71075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5447000" w14:textId="7109E0EE" w:rsidR="00E63639" w:rsidRPr="00F710AC" w:rsidRDefault="00E63639" w:rsidP="00D71075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Our results are not</w:t>
      </w:r>
      <w:r w:rsidR="00572F20"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exclusively</w:t>
      </w:r>
      <w:r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A46F7"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driven</w:t>
      </w:r>
      <w:r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by the proposed statistical artefact. </w:t>
      </w:r>
    </w:p>
    <w:p w14:paraId="65E9C2C2" w14:textId="2EF67D45" w:rsidR="00E63639" w:rsidRPr="007508E2" w:rsidRDefault="00E63639" w:rsidP="00D71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115">
        <w:rPr>
          <w:rFonts w:ascii="Times New Roman" w:hAnsi="Times New Roman" w:cs="Times New Roman"/>
          <w:sz w:val="24"/>
          <w:szCs w:val="24"/>
          <w:lang w:val="en-US"/>
        </w:rPr>
        <w:t>Boyce et al. (2016) suggest that the effect of the match between customers</w:t>
      </w:r>
      <w:r w:rsidR="00F5777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52115">
        <w:rPr>
          <w:rFonts w:ascii="Times New Roman" w:hAnsi="Times New Roman" w:cs="Times New Roman"/>
          <w:sz w:val="24"/>
          <w:szCs w:val="24"/>
          <w:lang w:val="en-US"/>
        </w:rPr>
        <w:t xml:space="preserve"> shopping basket</w:t>
      </w:r>
      <w:r w:rsidR="00F577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52115">
        <w:rPr>
          <w:rFonts w:ascii="Times New Roman" w:hAnsi="Times New Roman" w:cs="Times New Roman"/>
          <w:sz w:val="24"/>
          <w:szCs w:val="24"/>
          <w:lang w:val="en-US"/>
        </w:rPr>
        <w:t xml:space="preserve"> and their personality might be driven “by participant personality, which is known to relate to well-being”. </w:t>
      </w:r>
      <w:r w:rsidR="00C377D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We also had this concern. </w:t>
      </w:r>
      <w:r w:rsidR="00B5476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Which </w:t>
      </w:r>
      <w:r w:rsidR="00C377D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is why the original analysis controlled for participant personality as well as the overall extremity of profiles and </w:t>
      </w:r>
      <w:r w:rsidR="00C377D5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found </w:t>
      </w:r>
      <w:r w:rsidR="005606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that </w:t>
      </w:r>
      <w:r w:rsidR="00C377D5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 effects</w:t>
      </w:r>
      <w:r w:rsidR="00C377D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of basket-participant</w:t>
      </w:r>
      <w:r w:rsidR="00C377D5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matched</w:t>
      </w:r>
      <w:r w:rsidR="005606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remained </w:t>
      </w:r>
      <w:r w:rsidR="006F6F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stable </w:t>
      </w:r>
      <w:r w:rsidR="005606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when controlling for these variables</w:t>
      </w:r>
      <w:r w:rsidR="00C377D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(see Table 3; Matz et al., 2016)</w:t>
      </w:r>
      <w:r w:rsidR="00C377D5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ABBEF4" w14:textId="15F5BBB9" w:rsidR="002D624F" w:rsidRPr="00106FF8" w:rsidRDefault="00A260DC" w:rsidP="00D71075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73D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provide further evidence for our effect’s robustness, we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ran</w:t>
      </w:r>
      <w:r w:rsidRPr="00773D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simulation on our dataset</w:t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is similar to the one reported by Boyce et al. (2016)</w:t>
      </w:r>
      <w:r w:rsidRPr="00773DE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1,000 iterations, we randomly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>allocated</w:t>
      </w:r>
      <w:r w:rsidR="000868DE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the basket personalit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calculated for each participant in Study 1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other participant (i.e.,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‘swap’ participants</w:t>
      </w:r>
      <w:r w:rsidR="0033044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shopping baskets at random)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>We then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calculated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basket-participant match and ran regression analyses including the control variables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05F12">
        <w:rPr>
          <w:rFonts w:ascii="Times New Roman" w:eastAsia="Times New Roman" w:hAnsi="Times New Roman" w:cs="Times New Roman"/>
          <w:sz w:val="24"/>
          <w:szCs w:val="24"/>
          <w:lang w:val="en-US"/>
        </w:rPr>
        <w:t>used by Boyce et al. (Model 1 without total spend)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805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original control variables of Model 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(see </w:t>
      </w:r>
      <w:r w:rsidR="00644621">
        <w:rPr>
          <w:rFonts w:ascii="Times New Roman" w:eastAsia="Times New Roman" w:hAnsi="Times New Roman" w:cs="Times New Roman"/>
          <w:sz w:val="24"/>
          <w:szCs w:val="24"/>
          <w:lang w:val="en-US"/>
        </w:rPr>
        <w:t>online supplementary materials</w:t>
      </w:r>
      <w:r w:rsidR="00B54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>for more details)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Out of 1000 iterations, basket-personality match was </w:t>
      </w:r>
      <w:r w:rsidR="00347BE1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significant </w:t>
      </w:r>
      <w:r w:rsidR="00B81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an alpha level of 0.05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only 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3.5% of cases when including the controls </w:t>
      </w:r>
      <w:r w:rsidR="00805F12">
        <w:rPr>
          <w:rFonts w:ascii="Times New Roman" w:eastAsia="Times New Roman" w:hAnsi="Times New Roman" w:cs="Times New Roman"/>
          <w:sz w:val="24"/>
          <w:szCs w:val="24"/>
          <w:lang w:val="en-US"/>
        </w:rPr>
        <w:t>used by Boyce et al.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in only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E3D3F"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% of cases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 including all control variables </w:t>
      </w:r>
      <w:r w:rsidR="00805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>Model 2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average coefficient of the randomly generated basket-participant match was 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= 0.013 in Model 1 </w:t>
      </w:r>
      <w:r w:rsidR="007D46E9">
        <w:rPr>
          <w:rFonts w:ascii="Times New Roman" w:eastAsia="Times New Roman" w:hAnsi="Times New Roman" w:cs="Times New Roman"/>
          <w:sz w:val="24"/>
          <w:szCs w:val="24"/>
          <w:lang w:val="en-US"/>
        </w:rPr>
        <w:t>(SD = 0.03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average </w:t>
      </w:r>
      <w:r w:rsidR="007D46E9">
        <w:rPr>
          <w:rFonts w:ascii="Times New Roman" w:eastAsia="Times New Roman" w:hAnsi="Times New Roman" w:cs="Times New Roman"/>
          <w:sz w:val="24"/>
          <w:szCs w:val="24"/>
          <w:lang w:val="en-US"/>
        </w:rPr>
        <w:t>ß = 0.018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left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>panel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Figure 1) and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= </w:t>
      </w:r>
      <w:r w:rsidR="008E3D3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0.004 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Model 2 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(SD = 0.03; average β = </w:t>
      </w:r>
      <w:r w:rsidR="008E3D3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0.005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right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>panel</w:t>
      </w:r>
      <w:r w:rsidR="00E73C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Figure 1</w:t>
      </w:r>
      <w:r w:rsidR="00E63639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This compares to coefficients of B = 0.06 and ß = 0.10 reported 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for 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real basket-participant match 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in 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our original 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analysis (using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the same controls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We take this as strong evidence 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that the 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relationship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between basket-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participant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match and life satisfaction 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is not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2D62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(or at least not exclusively) driven</w:t>
      </w:r>
      <w:r w:rsidR="002D624F" w:rsidRPr="00106FF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by the confounding artefacts suggested by Boyce et al. (2016).</w:t>
      </w:r>
    </w:p>
    <w:p w14:paraId="2AAF250A" w14:textId="0D1D9F22" w:rsidR="00E63639" w:rsidRPr="007508E2" w:rsidRDefault="0060074B" w:rsidP="00D7107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230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46E9D4A" wp14:editId="31301CE0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_Revis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60DC" w:rsidRPr="00FE79B3" w14:paraId="4EF23F52" w14:textId="77777777" w:rsidTr="00F710AC">
        <w:tc>
          <w:tcPr>
            <w:tcW w:w="9062" w:type="dxa"/>
          </w:tcPr>
          <w:p w14:paraId="4F035C21" w14:textId="37408310" w:rsidR="00E63639" w:rsidRPr="007508E2" w:rsidRDefault="00E63639" w:rsidP="00D71075">
            <w:pPr>
              <w:spacing w:line="480" w:lineRule="auto"/>
              <w:ind w:left="1167" w:right="13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de-DE"/>
              </w:rPr>
            </w:pPr>
            <w:bookmarkStart w:id="0" w:name="_GoBack" w:colFirst="1" w:colLast="1"/>
            <w:r w:rsidRPr="007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Figure 1.</w:t>
            </w:r>
            <w:r w:rsidRPr="00750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Distribution of regression coefficients (B) for randomly distributed basket personality across 1,000 iterations</w:t>
            </w:r>
            <w:r w:rsidR="008B37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using the controls of Boyce et al.</w:t>
            </w:r>
            <w:r w:rsidR="008E3D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(left</w:t>
            </w:r>
            <w:r w:rsidR="008B37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original Model 1 without total spend</w:t>
            </w:r>
            <w:r w:rsidR="008E3D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and </w:t>
            </w:r>
            <w:r w:rsidR="008B37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original controls of </w:t>
            </w:r>
            <w:r w:rsidR="008E3D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 2 (right)</w:t>
            </w:r>
            <w:r w:rsidRPr="00750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bookmarkEnd w:id="0"/>
    </w:tbl>
    <w:p w14:paraId="16BEED9C" w14:textId="77777777" w:rsidR="00F710AC" w:rsidRDefault="00F710AC" w:rsidP="00D7107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7AD74CB" w14:textId="22BDDB1F" w:rsidR="00DE5080" w:rsidRPr="00F710AC" w:rsidRDefault="002D624F" w:rsidP="00D7107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</w:t>
      </w:r>
      <w:r w:rsidR="00444B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mportance of </w:t>
      </w:r>
      <w:r w:rsidR="00444B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962200"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mall </w:t>
      </w:r>
      <w:r w:rsidR="00444B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962200"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ffects</w:t>
      </w:r>
      <w:r w:rsidR="00F710AC"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962200" w:rsidRPr="00F710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1EF37FA" w14:textId="465D8FB7" w:rsidR="00347BE1" w:rsidRDefault="00556F82" w:rsidP="00D7107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Boyce et al. (2016) </w:t>
      </w:r>
      <w:r w:rsidR="00AE3793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argue that the relationship we report between a consumer’s purchases and their wellbeing is of no practical relevance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47BE1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raises an important debate about </w:t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t>the magnitude of meaningful effect sizes</w:t>
      </w:r>
      <w:r w:rsidR="00347BE1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2F3446F" w14:textId="74F44980" w:rsidR="005E244A" w:rsidRDefault="00D46F20" w:rsidP="00D7107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Traditional social science research uses small samples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"1745-6916", "author" : [ { "dropping-particle" : "", "family" : "Bertamini", "given" : "Marco", "non-dropping-particle" : "", "parse-names" : false, "suffix" : "" }, { "dropping-particle" : "", "family" : "Munaf\u00f2", "given" : "Marcus R", "non-dropping-particle" : "", "parse-names" : false, "suffix" : "" } ], "container-title" : "Perspectives on Psychological Science", "id" : "ITEM-1", "issue" : "1", "issued" : { "date-parts" : [ [ "2012" ] ] }, "page" : "67-71", "publisher" : "Sage Publications", "title" : "Bite-size science and its undesired side effects", "type" : "article-journal", "volume" : "7" }, "uris" : [ "http://www.mendeley.com/documents/?uuid=96d30ee8-cd5b-4731-bb8c-8a37e333d9ae" ] }, { "id" : "ITEM-2", "itemData" : { "ISSN" : "1471-003X", "author" : [ { "dropping-particle" : "", "family" : "Button", "given" : "Katherine S", "non-dropping-particle" : "", "parse-names" : false, "suffix" : "" }, { "dropping-particle" : "", "family" : "Ioannidis", "given" : "John P A", "non-dropping-particle" : "", "parse-names" : false, "suffix" : "" }, { "dropping-particle" : "", "family" : "Mokrysz", "given" : "Claire", "non-dropping-particle" : "", "parse-names" : false, "suffix" : "" }, { "dropping-particle" : "", "family" : "Nosek", "given" : "Brian A", "non-dropping-particle" : "", "parse-names" : false, "suffix" : "" }, { "dropping-particle" : "", "family" : "Flint", "given" : "Jonathan", "non-dropping-particle" : "", "parse-names" : false, "suffix" : "" }, { "dropping-particle" : "", "family" : "Robinson", "given" : "Emma S J", "non-dropping-particle" : "", "parse-names" : false, "suffix" : "" }, { "dropping-particle" : "", "family" : "Munaf\u00f2", "given" : "Marcus R", "non-dropping-particle" : "", "parse-names" : false, "suffix" : "" } ], "container-title" : "Nature Reviews Neuroscience", "id" : "ITEM-2", "issue" : "5", "issued" : { "date-parts" : [ [ "2013" ] ] }, "page" : "365-376", "publisher" : "Nature Publishing Group", "title" : "Power failure: why small sample size undermines the reliability of neuroscience", "type" : "article-journal", "volume" : "14" }, "uris" : [ "http://www.mendeley.com/documents/?uuid=ab893f7d-d726-4644-8b00-d8771975fe4a" ] } ], "mendeley" : { "formattedCitation" : "(Bertamini &amp; Munaf\u00f2, 2012; Button et al., 2013)", "plainTextFormattedCitation" : "(Bertamini &amp; Munaf\u00f2, 2012; Button et al., 2013)", "previouslyFormattedCitation" : "(Bertamini &amp; Munaf\u00f2, 2012; Button et al., 2013)" }, "properties" : { "noteIndex" : 0 }, "schema" : "https://github.com/citation-style-language/schema/raw/master/csl-citation.json" }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8956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(Bertamini &amp; Munafò, 2012; Button et al., 2013)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require large effect sizes to reach statistical significance and be published.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arge effect sizes are more likely to be replicable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"0036-8075", "author" : [ { "dropping-particle" : "", "family" : "Collaboration", "given" : "Open Science", "non-dropping-particle" : "", "parse-names" : false, "suffix" : "" } ], "container-title" : "Science", "id" : "ITEM-1", "issue" : "6251", "issued" : { "date-parts" : [ [ "2015" ] ] }, "page" : "aac4716", "publisher" : "American Association for the Advancement of Science", "title" : "Estimating the reproducibility of psychological science", "type" : "article-journal", "volume" : "349" }, "uris" : [ "http://www.mendeley.com/documents/?uuid=aa15eee5-be86-4699-a86b-e0eeff353c7e" ] } ], "mendeley" : { "formattedCitation" : "(Collaboration, 2015)", "manualFormatting" : "(Open Science Collaboration, 2015)", "plainTextFormattedCitation" : "(Collaboration, 2015)", "previouslyFormattedCitation" : "(Collaboration, 2015)" }, "properties" : { "noteIndex" : 0 }, "schema" : "https://github.com/citation-style-language/schema/raw/master/csl-citation.json" }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8956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Open Science </w:t>
      </w:r>
      <w:r w:rsidRPr="008956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Collaboration, 2015)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focusing </w:t>
      </w:r>
      <w:r w:rsidRPr="00E50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exclusively 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them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hinders a nuanced exploration of complex psychological phenomena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such as life satisfaction,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which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are unlikely to be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explained by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few strong predictors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Instead of dismissing small effect sizes altogether,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researchers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should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explore new methodologies </w:t>
      </w:r>
      <w:r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enable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discipline of </w:t>
      </w:r>
      <w:r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psychology to build a body of small but robust </w:t>
      </w:r>
      <w:r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predictors of behavior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New computational social science approaches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instrText>ADDIN CSL_CITATION { "citationItems" : [ { "id" : "ITEM-1", "itemData" : { "author" : [ { "dropping-particle" : "", "family" : "Kosinski", "given" : "Michal", "non-dropping-particle" : "", "parse-names" : false, "suffix" : "" }, { "dropping-particle" : "", "family" : "Matz", "given" : "Sandra C", "non-dropping-particle" : "", "parse-names" : false, "suffix" : "" }, { "dropping-particle" : "", "family" : "Gosling", "given" : "Samuel D", "non-dropping-particle" : "", "parse-names" : false, "suffix" : "" }, { "dropping-particle" : "", "family" : "Popov", "given" : "Vess", "non-dropping-particle" : "", "parse-names" : false, "suffix" : "" }, { "dropping-particle" : "", "family" : "Stillwell", "given" : "David", "non-dropping-particle" : "", "parse-names" : false, "suffix" : "" } ], "container-title" : "American Psychologist", "id" : "ITEM-1", "issue" : "6", "issued" : { "date-parts" : [ [ "2015" ] ] }, "page" : "543-556", "title" : "Facebook as a Research Tool for the Social Sciences", "type" : "article-journal", "volume" : "70" }, "prefix" : "Big Data; see e.g. ", "uris" : [ "http://www.mendeley.com/documents/?uuid=95c7b0c3-a36f-444f-b410-35965d28dc30" ] } ], "mendeley" : { "formattedCitation" : "(Big Data; see e.g. Kosinski, Matz, Gosling, Popov, &amp; Stillwell, 2015)", "plainTextFormattedCitation" : "(Big Data; see e.g. Kosinski, Matz, Gosling, Popov, &amp; Stillwell, 2015)", "previouslyFormattedCitation" : "(Big Data; see e.g. Kosinski, Matz, Gosling, Popov, &amp; Stillwell, 2015)" }, "properties" : { "noteIndex" : 0 }, "schema" : "https://github.com/citation-style-language/schema/raw/master/csl-citation.json" }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Pr="00061EB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(Big Data; see e.g. Kosinski, Matz, Gosling, Popov, &amp; Stillwell, 2015)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for example,</w:t>
      </w:r>
      <w:r w:rsidRPr="0075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make it possible to collect behavioral data at an unprecedented scale, providing </w:t>
      </w:r>
      <w:r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>psychologists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opportunities</w:t>
      </w:r>
      <w:r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identify</w:t>
      </w:r>
      <w:r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weak but reliable signals in a complicated world.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4621">
        <w:rPr>
          <w:rFonts w:ascii="Times New Roman" w:eastAsia="Times New Roman" w:hAnsi="Times New Roman" w:cs="Times New Roman"/>
          <w:sz w:val="24"/>
          <w:szCs w:val="24"/>
          <w:lang w:val="en-US"/>
        </w:rPr>
        <w:t>However,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danger </w:t>
      </w:r>
      <w:r w:rsidR="006446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these new methods 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</w:t>
      </w:r>
      <w:r w:rsidRPr="00AD7AF9">
        <w:rPr>
          <w:rFonts w:ascii="Times New Roman" w:eastAsia="Times New Roman" w:hAnsi="Times New Roman" w:cs="Times New Roman"/>
          <w:sz w:val="24"/>
          <w:szCs w:val="24"/>
          <w:lang w:val="en-GB"/>
        </w:rPr>
        <w:t>even trivial effect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D7A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will become statistically significant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 large enough samples. Therefore, how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we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>distinguish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small effects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which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meaningful,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>from those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which are not?</w:t>
      </w:r>
    </w:p>
    <w:p w14:paraId="61C20443" w14:textId="4B70E1B1" w:rsidR="00776D53" w:rsidRDefault="007D25A6" w:rsidP="00776D53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D46F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his requires </w:t>
      </w:r>
      <w:r w:rsidR="000B6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scientist’s </w:t>
      </w:r>
      <w:r w:rsidR="00D46F20">
        <w:rPr>
          <w:rFonts w:ascii="Times New Roman" w:eastAsia="Times New Roman" w:hAnsi="Times New Roman" w:cs="Times New Roman"/>
          <w:sz w:val="24"/>
          <w:szCs w:val="24"/>
          <w:lang w:val="en-GB"/>
        </w:rPr>
        <w:t>judgement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rather than </w:t>
      </w:r>
      <w:r w:rsidR="00C706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simply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>following arbitrary cut-offs.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706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full review of situations when </w:t>
      </w:r>
      <w:r w:rsidR="00FE79B3">
        <w:rPr>
          <w:rFonts w:ascii="Times New Roman" w:eastAsia="Times New Roman" w:hAnsi="Times New Roman" w:cs="Times New Roman"/>
          <w:sz w:val="24"/>
          <w:szCs w:val="24"/>
          <w:lang w:val="en-GB"/>
        </w:rPr>
        <w:t>small</w:t>
      </w:r>
      <w:r w:rsidR="00C706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effect sizes are important would require more space than available in a commentary, but other </w:t>
      </w:r>
      <w:r w:rsidR="001A3958">
        <w:rPr>
          <w:rFonts w:ascii="Times New Roman" w:eastAsia="Times New Roman" w:hAnsi="Times New Roman" w:cs="Times New Roman"/>
          <w:sz w:val="24"/>
          <w:szCs w:val="24"/>
          <w:lang w:val="en-GB"/>
        </w:rPr>
        <w:t>authors</w:t>
      </w:r>
      <w:r w:rsidR="00C706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already discussed some situations. </w:t>
      </w:r>
      <w:r w:rsidR="001A39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Cortina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and Landis (2009)</w:t>
      </w:r>
      <w:r w:rsidR="00D62F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for example, </w:t>
      </w:r>
      <w:r w:rsidR="00C706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 that </w:t>
      </w:r>
      <w:r w:rsidR="00D62F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small effects can suggest strong support for a given phenomenon if they </w:t>
      </w:r>
      <w:r w:rsidR="009247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(1) </w:t>
      </w:r>
      <w:r w:rsidR="00D62F5E">
        <w:rPr>
          <w:rFonts w:ascii="Times New Roman" w:eastAsia="Times New Roman" w:hAnsi="Times New Roman" w:cs="Times New Roman"/>
          <w:sz w:val="24"/>
          <w:szCs w:val="24"/>
          <w:lang w:val="en-GB"/>
        </w:rPr>
        <w:t>occur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context of intentionally inauspicious designs, </w:t>
      </w:r>
      <w:r w:rsidR="00D62F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challenge fundamental theoretical assumptions, </w:t>
      </w:r>
      <w:r w:rsidR="00D62F5E">
        <w:rPr>
          <w:rFonts w:ascii="Times New Roman" w:eastAsia="Times New Roman" w:hAnsi="Times New Roman" w:cs="Times New Roman"/>
          <w:sz w:val="24"/>
          <w:szCs w:val="24"/>
          <w:lang w:val="en-GB"/>
        </w:rPr>
        <w:t>and (3)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24766">
        <w:rPr>
          <w:rFonts w:ascii="Times New Roman" w:eastAsia="Times New Roman" w:hAnsi="Times New Roman" w:cs="Times New Roman"/>
          <w:sz w:val="24"/>
          <w:szCs w:val="24"/>
          <w:lang w:val="en-GB"/>
        </w:rPr>
        <w:t>have enormous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cumulative consequences. </w:t>
      </w:r>
      <w:r w:rsidR="00D3583B">
        <w:rPr>
          <w:rFonts w:ascii="Times New Roman" w:eastAsia="Times New Roman" w:hAnsi="Times New Roman" w:cs="Times New Roman"/>
          <w:sz w:val="24"/>
          <w:szCs w:val="24"/>
          <w:lang w:val="en-GB"/>
        </w:rPr>
        <w:t>One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illustration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latter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Abelson’s Paradox </w:t>
      </w:r>
      <w:r w:rsidR="00A317D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 w:fldLock="1"/>
      </w:r>
      <w:r w:rsidR="00A83A9C">
        <w:rPr>
          <w:rFonts w:ascii="Times New Roman" w:eastAsia="Times New Roman" w:hAnsi="Times New Roman" w:cs="Times New Roman"/>
          <w:sz w:val="24"/>
          <w:szCs w:val="24"/>
          <w:lang w:val="en-GB"/>
        </w:rPr>
        <w:instrText>ADDIN CSL_CITATION { "citationItems" : [ { "id" : "ITEM-1", "itemData" : { "ISSN" : "1939-1455", "author" : [ { "dropping-particle" : "", "family" : "Abelson", "given" : "Robert P", "non-dropping-particle" : "", "parse-names" : false, "suffix" : "" } ], "container-title" : "Psychological Bulletin", "id" : "ITEM-1", "issue" : "1", "issued" : { "date-parts" : [ [ "1985" ] ] }, "page" : "129", "publisher" : "American Psychological Association", "title" : "A variance explanation paradox: When a little is a lot.", "type" : "article-journal", "volume" : "97" }, "uris" : [ "http://www.mendeley.com/documents/?uuid=9371d380-8ed8-47f2-9526-28a95af6efba" ] } ], "mendeley" : { "formattedCitation" : "(Abelson, 1985)", "plainTextFormattedCitation" : "(Abelson, 1985)", "previouslyFormattedCitation" : "(Abelson, 1985)" }, "properties" : { "noteIndex" : 0 }, "schema" : "https://github.com/citation-style-language/schema/raw/master/csl-citation.json" }</w:instrText>
      </w:r>
      <w:r w:rsidR="00A317D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="00A317DE" w:rsidRPr="00A317D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(Abelson, 1985)</w:t>
      </w:r>
      <w:r w:rsidR="00A317D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="00776D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Investigating </w:t>
      </w:r>
      <w:r w:rsidR="00B5523C">
        <w:rPr>
          <w:rFonts w:ascii="Times New Roman" w:eastAsia="Times New Roman" w:hAnsi="Times New Roman" w:cs="Times New Roman"/>
          <w:sz w:val="24"/>
          <w:szCs w:val="24"/>
          <w:lang w:val="en-GB"/>
        </w:rPr>
        <w:t>the batting performance</w:t>
      </w:r>
      <w:r w:rsidR="00776D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major-league baseball players, Abelson showed that</w:t>
      </w:r>
      <w:r w:rsidR="009247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B6402">
        <w:rPr>
          <w:rFonts w:ascii="Times New Roman" w:eastAsia="Times New Roman" w:hAnsi="Times New Roman" w:cs="Times New Roman"/>
          <w:sz w:val="24"/>
          <w:szCs w:val="24"/>
          <w:lang w:val="en-GB"/>
        </w:rPr>
        <w:t>historical batting performance</w:t>
      </w:r>
      <w:r w:rsidR="009D50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barely predictive of </w:t>
      </w:r>
      <w:r w:rsidR="00A00F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player’s </w:t>
      </w:r>
      <w:r w:rsidR="009D50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performance </w:t>
      </w:r>
      <w:r w:rsidR="000B6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each time </w:t>
      </w:r>
      <w:r w:rsidR="00A00F38">
        <w:rPr>
          <w:rFonts w:ascii="Times New Roman" w:eastAsia="Times New Roman" w:hAnsi="Times New Roman" w:cs="Times New Roman"/>
          <w:sz w:val="24"/>
          <w:szCs w:val="24"/>
          <w:lang w:val="en-GB"/>
        </w:rPr>
        <w:t>they</w:t>
      </w:r>
      <w:r w:rsidR="000B6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stepped up to the batting plate </w:t>
      </w:r>
      <w:r w:rsidR="009D50AE">
        <w:rPr>
          <w:rFonts w:ascii="Times New Roman" w:eastAsia="Times New Roman" w:hAnsi="Times New Roman" w:cs="Times New Roman"/>
          <w:sz w:val="24"/>
          <w:szCs w:val="24"/>
          <w:lang w:val="en-GB"/>
        </w:rPr>
        <w:t>(less than 0.5%)</w:t>
      </w:r>
      <w:r w:rsidR="00B5523C">
        <w:rPr>
          <w:rFonts w:ascii="Times New Roman" w:eastAsia="Times New Roman" w:hAnsi="Times New Roman" w:cs="Times New Roman"/>
          <w:sz w:val="24"/>
          <w:szCs w:val="24"/>
          <w:lang w:val="en-GB"/>
        </w:rPr>
        <w:t>. Yet,</w:t>
      </w:r>
      <w:r w:rsidR="009D50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24766">
        <w:rPr>
          <w:rFonts w:ascii="Times New Roman" w:eastAsia="Times New Roman" w:hAnsi="Times New Roman" w:cs="Times New Roman"/>
          <w:sz w:val="24"/>
          <w:szCs w:val="24"/>
          <w:lang w:val="en-GB"/>
        </w:rPr>
        <w:t>the cumulative effect over several hundred bats is so meaningful in practice that it leads to some batters being paid 100,000% more than others.</w:t>
      </w:r>
    </w:p>
    <w:p w14:paraId="7EFB1D8F" w14:textId="7830E067" w:rsidR="00290945" w:rsidRPr="007508E2" w:rsidRDefault="00C70672" w:rsidP="000868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our </w:t>
      </w:r>
      <w:r w:rsidR="00A00F38">
        <w:rPr>
          <w:rFonts w:ascii="Times New Roman" w:eastAsia="Times New Roman" w:hAnsi="Times New Roman" w:cs="Times New Roman"/>
          <w:sz w:val="24"/>
          <w:szCs w:val="24"/>
          <w:lang w:val="en-GB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o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 challenge in determining the meaning in effect sizes is that </w:t>
      </w:r>
      <w:r w:rsidR="0035211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is difficult to directly compare </w:t>
      </w:r>
      <w:r w:rsidR="000863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them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across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studies with 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different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methodologies</w:t>
      </w:r>
      <w:r w:rsidR="00086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such as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self-reported surveys and objective behavioral data. Study 1 is a ‘Big Data’ field study</w:t>
      </w:r>
      <w:r w:rsidR="001D60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where over 76,000 transactions are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mined from customers’ bank accounts and where the measurement of wellbeing is far removed, in both context and time, from when the bank customers’ purchases were being made. Such a procedure is likely to result in smaller – yet probably more realistic -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effect sizes than panel surveys because they eliminate well-documented response biases (e.g.</w:t>
      </w:r>
      <w:r w:rsidR="00FE233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consistency moti</w:t>
      </w:r>
      <w:r w:rsidR="005606DE">
        <w:rPr>
          <w:rFonts w:ascii="Times New Roman" w:eastAsia="Times New Roman" w:hAnsi="Times New Roman" w:cs="Times New Roman"/>
          <w:sz w:val="24"/>
          <w:szCs w:val="24"/>
          <w:lang w:val="en-US"/>
        </w:rPr>
        <w:t>ve,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covariation bias, or common method variance).</w:t>
      </w:r>
      <w:r w:rsidR="00FA7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525A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For example</w:t>
      </w:r>
      <w:r w:rsidR="004525A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525A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Powdthavee (2008</w:t>
      </w:r>
      <w:r w:rsidR="004525A2">
        <w:rPr>
          <w:rFonts w:ascii="Times New Roman" w:eastAsia="Times New Roman" w:hAnsi="Times New Roman" w:cs="Times New Roman"/>
          <w:sz w:val="24"/>
          <w:szCs w:val="24"/>
          <w:lang w:val="en-US"/>
        </w:rPr>
        <w:t>; cited by Boyce et al., 2016</w:t>
      </w:r>
      <w:r w:rsidR="004525A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reports a </w:t>
      </w:r>
      <w:r w:rsidR="004525A2">
        <w:rPr>
          <w:rFonts w:ascii="Times New Roman" w:eastAsia="Times New Roman" w:hAnsi="Times New Roman" w:cs="Times New Roman"/>
          <w:sz w:val="24"/>
          <w:szCs w:val="24"/>
          <w:lang w:val="en-US"/>
        </w:rPr>
        <w:t>large</w:t>
      </w:r>
      <w:r w:rsidR="004525A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 of social contact on subjective wellbeing in the British Household Panel Survey. While social contact is surely important for wellbeing, the </w:t>
      </w:r>
      <w:r w:rsidR="00452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reported </w:t>
      </w:r>
      <w:r w:rsidR="004525A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effect size might be over-estimated because respondents are subjectively reporting both their social contact and their wellbeing at the same time. Respondents who felt negative</w:t>
      </w:r>
      <w:r w:rsidR="00FE233B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r w:rsidR="004525A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about their lives, for example, might be less likely to remember and report short and superficial social contact, such as saying “hello” to a neighbor, than respondents who felt more positive </w:t>
      </w:r>
      <w:r w:rsidR="004525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 w:rsidR="00F51E3A"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"1935-990X", "author" : [ { "dropping-particle" : "", "family" : "Bower", "given" : "Gordon H", "non-dropping-particle" : "", "parse-names" : false, "suffix" : "" } ], "container-title" : "American psychologist", "genre" : "JOUR", "id" : "ITEM-1", "issue" : "2", "issued" : { "date-parts" : [ [ "1981" ] ] }, "page" : "129", "publisher" : "American Psychological Association", "title" : "Mood and memory.", "type" : "article-journal", "volume" : "36" }, "prefix" : "mood congruence; ", "uris" : [ "http://www.mendeley.com/documents/?uuid=78cde7eb-c6f8-4309-977a-e73fc2f0a3f4" ] } ], "mendeley" : { "formattedCitation" : "(mood congruence; Bower, 1981)", "plainTextFormattedCitation" : "(mood congruence; Bower, 1981)", "previouslyFormattedCitation" : "(mood congruence; Bower, 1981)" }, "properties" : { "noteIndex" : 0 }, "schema" : "https://github.com/citation-style-language/schema/raw/master/csl-citation.json" }</w:instrText>
      </w:r>
      <w:r w:rsidR="004525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4525A2" w:rsidRPr="00A238D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(mood congruence; Bower, 1981)</w:t>
      </w:r>
      <w:r w:rsidR="004525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4525A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Indeed, the results of </w:t>
      </w:r>
      <w:r w:rsid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Study 2 underline the importance of considering the methodological context when discussing a given effect size</w:t>
      </w:r>
      <w:r w:rsidR="00FE2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Study 2’s behavioral field experiment found a medium to large effect size for the personality-fit interaction (ß = 0.38). </w:t>
      </w:r>
    </w:p>
    <w:p w14:paraId="04C4C0A4" w14:textId="77777777" w:rsidR="00A260DC" w:rsidRPr="007508E2" w:rsidRDefault="00A260DC" w:rsidP="00D7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04A1EB" w14:textId="41B4E1E3" w:rsidR="00DC1521" w:rsidRDefault="008F56EE" w:rsidP="006B7D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 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consideration when deciding whether a small effect may have practical relevance is the extent to which </w:t>
      </w:r>
      <w:r w:rsidR="00A260DC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factor can be manipulated</w:t>
      </w:r>
      <w:r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62200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their commentary, </w:t>
      </w:r>
      <w:r w:rsidR="00BB7594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Boyce et al. (2016) point to other factors that are stronger predictors of wellbeing (in terms of standardized effec</w: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sizes) such as relationships </w: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 w:rsidR="00206C6B"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"1053-5357", "author" : [ { "dropping-particle" : "", "family" : "Powdthavee", "given" : "Nattavudh", "non-dropping-particle" : "", "parse-names" : false, "suffix" : "" } ], "container-title" : "The Journal of Socio-Economics", "id" : "ITEM-1", "issue" : "4", "issued" : { "date-parts" : [ [ "2008" ] ] }, "page" : "1459-1480", "publisher" : "Elsevier", "title" : "Putting a price tag on friends, relatives, and neighbours: Using surveys of life satisfaction to value social relationships", "type" : "article-journal", "volume" : "37" }, "uris" : [ "http://www.mendeley.com/documents/?uuid=f5747514-df7c-4c32-bee4-e4ee88cfb77f" ] } ], "mendeley" : { "formattedCitation" : "(Powdthavee, 2008)", "plainTextFormattedCitation" : "(Powdthavee, 2008)", "previouslyFormattedCitation" : "(Powdthavee, 2008)" }, "properties" : { "noteIndex" : 0 }, "schema" : "https://github.com/citation-style-language/schema/raw/master/csl-citation.json" }</w:instrTex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24137" w:rsidRPr="00F241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(Powdthavee, 2008)</w: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D624F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personality </w:t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"161044325X", "author" : [ { "dropping-particle" : "", "family" : "Diener", "given" : "Ed", "non-dropping-particle" : "", "parse-names" : false, "suffix" : "" }, { "dropping-particle" : "", "family" : "Lucas", "given" : "Richard E", "non-dropping-particle" : "", "parse-names" : false, "suffix" : "" } ], "container-title" : "Well-being: Foundations of hedonic psychology", "id" : "ITEM-1", "issued" : { "date-parts" : [ [ "1999" ] ] }, "page" : "213", "publisher" : "Russell Sage Foundation", "title" : "11 Personality and Subjective Well-Being", "type" : "article-journal" }, "uris" : [ "http://www.mendeley.com/documents/?uuid=dd2298a4-58b4-4b4e-b427-197476f2c8b9" ] } ], "mendeley" : { "formattedCitation" : "(Diener &amp; Lucas, 1999)", "plainTextFormattedCitation" : "(Diener &amp; Lucas, 1999)", "previouslyFormattedCitation" : "(Diener &amp; Lucas, 1999)" }, "properties" : { "noteIndex" : 0 }, "schema" : "https://github.com/citation-style-language/schema/raw/master/csl-citation.json" }</w:instrText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D624F" w:rsidRPr="00F241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(Diener &amp; Lucas, 1999)</w:t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D6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r w:rsidR="00BB7594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stable employment </w: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 w:rsidR="00206C6B"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"1939-1854", "author" : [ { "dropping-particle" : "", "family" : "McKee-Ryan", "given" : "Frances", "non-dropping-particle" : "", "parse-names" : false, "suffix" : "" }, { "dropping-particle" : "", "family" : "Song", "given" : "Zhaoli", "non-dropping-particle" : "", "parse-names" : false, "suffix" : "" }, { "dropping-particle" : "", "family" : "Wanberg", "given" : "Connie R", "non-dropping-particle" : "", "parse-names" : false, "suffix" : "" }, { "dropping-particle" : "", "family" : "Kinicki", "given" : "Angelo J", "non-dropping-particle" : "", "parse-names" : false, "suffix" : "" } ], "container-title" : "Journal of applied psychology", "id" : "ITEM-1", "issue" : "1", "issued" : { "date-parts" : [ [ "2005" ] ] }, "page" : "53", "publisher" : "American Psychological Association", "title" : "Psychological and physical well-being during unemployment: a meta-analytic study.", "type" : "article-journal", "volume" : "90" }, "uris" : [ "http://www.mendeley.com/documents/?uuid=4557f8b3-dfd5-402e-b76c-d3ac16bc21cf" ] } ], "mendeley" : { "formattedCitation" : "(McKee-Ryan, Song, Wanberg, &amp; Kinicki, 2005)", "plainTextFormattedCitation" : "(McKee-Ryan, Song, Wanberg, &amp; Kinicki, 2005)", "previouslyFormattedCitation" : "(McKee-Ryan, Song, Wanberg, &amp; Kinicki, 2005)" }, "properties" : { "noteIndex" : 0 }, "schema" : "https://github.com/citation-style-language/schema/raw/master/csl-citation.json" }</w:instrTex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24137" w:rsidRPr="00F241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(McKee-Ryan, Song, Wanberg, &amp; Kinicki, 2005)</w: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BB7594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70AD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16A9A">
        <w:rPr>
          <w:rFonts w:ascii="Times New Roman" w:eastAsia="Times New Roman" w:hAnsi="Times New Roman" w:cs="Times New Roman"/>
          <w:sz w:val="24"/>
          <w:szCs w:val="24"/>
          <w:lang w:val="en-US"/>
        </w:rPr>
        <w:t>uch</w:t>
      </w:r>
      <w:r w:rsidR="00BB7594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factors </w:t>
      </w:r>
      <w:r w:rsidR="00D037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certainly </w:t>
      </w:r>
      <w:r w:rsidR="00BB7594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play a</w:t>
      </w:r>
      <w:r w:rsidR="00A16A9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B7594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important role in predicting life satisfaction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>. However,</w:t>
      </w:r>
      <w:r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556F8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ersonality cannot easily be changed </w: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 w:rsidR="00206C6B"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"0963-7214", "author" : [ { "dropping-particle" : "", "family" : "McCrae", "given" : "Robert R", "non-dropping-particle" : "", "parse-names" : false, "suffix" : "" }, { "dropping-particle" : "", "family" : "Costa", "given" : "Paul T", "non-dropping-particle" : "", "parse-names" : false, "suffix" : "" } ], "container-title" : "Current directions in psychological science", "id" : "ITEM-1", "issue" : "6", "issued" : { "date-parts" : [ [ "1994" ] ] }, "page" : "173-175", "publisher" : "JSTOR", "title" : "The stability of personality: Observations and evaluations", "type" : "article-journal", "volume" : "3" }, "uris" : [ "http://www.mendeley.com/documents/?uuid=628533f5-70f7-4c60-bb6c-874ec4411a3a" ] } ], "mendeley" : { "formattedCitation" : "(McCrae &amp; Costa, 1994)", "plainTextFormattedCitation" : "(McCrae &amp; Costa, 1994)", "previouslyFormattedCitation" : "(McCrae &amp; Costa, 1994)" }, "properties" : { "noteIndex" : 0 }, "schema" : "https://github.com/citation-style-language/schema/raw/master/csl-citation.json" }</w:instrTex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24137" w:rsidRPr="00F241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(McCrae &amp; Costa, 1994)</w:t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F24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10E4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556F8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is often outside the control of an unemployed person to arrange for stable employment. 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56F8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onsumption choices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>, on the other hand,</w:t>
      </w:r>
      <w:r w:rsidR="00556F8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 w:rsidR="00F51E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usually 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the </w:t>
      </w:r>
      <w:r w:rsidR="00556F8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>control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="00556F8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individual and 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</w:t>
      </w:r>
      <w:r w:rsidR="00556F82" w:rsidRPr="0075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changed relatively easily. </w:t>
      </w:r>
      <w:r w:rsidR="006B7D01">
        <w:rPr>
          <w:rFonts w:ascii="Times New Roman" w:eastAsia="Times New Roman" w:hAnsi="Times New Roman" w:cs="Times New Roman"/>
          <w:sz w:val="24"/>
          <w:szCs w:val="24"/>
          <w:lang w:val="en-US"/>
        </w:rPr>
        <w:t>Even the very poorest groups in the world (i.e.</w:t>
      </w:r>
      <w:r w:rsidR="00C91B7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B7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those living on less than $2 per day), </w:t>
      </w:r>
      <w:r w:rsidR="006B7D01" w:rsidRPr="006B7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spend substantial amounts on </w:t>
      </w:r>
      <w:r w:rsidR="006B7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discretionary goods, such as </w:t>
      </w:r>
      <w:r w:rsidR="006B7D01" w:rsidRPr="006B7D01">
        <w:rPr>
          <w:rFonts w:ascii="Times New Roman" w:eastAsia="Times New Roman" w:hAnsi="Times New Roman" w:cs="Times New Roman"/>
          <w:sz w:val="24"/>
          <w:szCs w:val="24"/>
          <w:lang w:val="en-US"/>
        </w:rPr>
        <w:t>entertainment,</w:t>
      </w:r>
      <w:r w:rsidR="006B7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celebrations</w:t>
      </w:r>
      <w:r w:rsidR="006B7D01" w:rsidRPr="006B7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clothing and tobacco </w:t>
      </w:r>
      <w:r w:rsidR="00B5523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 w:rsidR="00B5523C"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"ISSN" : "0895-3309", "author" : [ { "dropping-particle" : "V", "family" : "Banerjee", "given" : "Abhijit", "non-dropping-particle" : "", "parse-names" : false, "suffix" : "" }, { "dropping-particle" : "", "family" : "Duflo", "given" : "Esther", "non-dropping-particle" : "", "parse-names" : false, "suffix" : "" } ], "container-title" : "The journal of economic perspectives", "id" : "ITEM-1", "issue" : "1", "issued" : { "date-parts" : [ [ "2007" ] ] }, "page" : "141-167", "publisher" : "American Economic Association", "title" : "The economic lives of the poor", "type" : "article-journal", "volume" : "21" }, "uris" : [ "http://www.mendeley.com/documents/?uuid=2b1e43de-efe7-4cac-b12d-ff074b968814" ] } ], "mendeley" : { "formattedCitation" : "(Banerjee &amp; Duflo, 2007)", "plainTextFormattedCitation" : "(Banerjee &amp; Duflo, 2007)" }, "properties" : { "noteIndex" : 0 }, "schema" : "https://github.com/citation-style-language/schema/raw/master/csl-citation.json" }</w:instrText>
      </w:r>
      <w:r w:rsidR="00B5523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B5523C" w:rsidRPr="00B552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(Banerjee &amp; Duflo, 2007)</w:t>
      </w:r>
      <w:r w:rsidR="00B5523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6B7D01" w:rsidRPr="006B7D0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B7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5301">
        <w:rPr>
          <w:rFonts w:ascii="Times New Roman" w:eastAsia="Times New Roman" w:hAnsi="Times New Roman" w:cs="Times New Roman"/>
          <w:sz w:val="24"/>
          <w:szCs w:val="24"/>
          <w:lang w:val="en-US"/>
        </w:rPr>
        <w:t>Given that</w:t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consumption is</w:t>
      </w:r>
      <w:r w:rsidR="00230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such</w:t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universal phenomenon, even small changes can have a big impact</w:t>
      </w:r>
      <w:r w:rsidR="00293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they occur on a large scale</w:t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D1B2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1% increase in life satisfaction </w:t>
      </w:r>
      <w:r w:rsidR="00C91B76">
        <w:rPr>
          <w:rFonts w:ascii="Times New Roman" w:eastAsia="Times New Roman" w:hAnsi="Times New Roman" w:cs="Times New Roman"/>
          <w:sz w:val="24"/>
          <w:szCs w:val="24"/>
          <w:lang w:val="en-US"/>
        </w:rPr>
        <w:t>may be</w:t>
      </w:r>
      <w:r w:rsidR="00ED1B2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1B2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negligible for a single consumer, but if a retail giant like Amazon aimed at making its customers happier by personalizing their product recommendations, a 1% increase in life satisfaction across its 244 million customers </w:t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 w:fldLock="1"/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instrText>ADDIN CSL_CITATION { "citationItems" : [ { "id" : "ITEM-1", "itemData" : { "URL" : "http://www.fool.com/investing/general/2014/05/24/how-many-customers-does-amazon-have.aspx", "author" : [ { "dropping-particle" : "", "family" : "Kline", "given" : "Daniel B", "non-dropping-particle" : "", "parse-names" : false, "suffix" : "" } ], "container-title" : "The Motley Fool", "id" : "ITEM-1", "issued" : { "date-parts" : [ [ "2014" ] ] }, "title" : "How many customers does Amazon have?", "type" : "webpage" }, "uris" : [ "http://www.mendeley.com/documents/?uuid=e51a8242-b8eb-4e22-a7ec-34b08cc50910" ] } ], "mendeley" : { "formattedCitation" : "(Kline, 2014)", "plainTextFormattedCitation" : "(Kline, 2014)", "previouslyFormattedCitation" : "(Kline, 2014)" }, "properties" : { "noteIndex" : 0 }, "schema" : "https://github.com/citation-style-language/schema/raw/master/csl-citation.json" }</w:instrText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D1B2B" w:rsidRPr="00F241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(Kline, 2014)</w:t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D1B2B" w:rsidRPr="003521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turn a small effect size into a huge social effect.</w:t>
      </w:r>
      <w:r w:rsidR="00ED1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7B8E8FD" w14:textId="77777777" w:rsidR="00DC1521" w:rsidRDefault="00DC1521" w:rsidP="00D7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6A470D" w14:textId="2D94CE05" w:rsidR="00B91CC3" w:rsidRDefault="00DC1521" w:rsidP="00D7107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Psychologists have typically focused on how their findings app</w:t>
      </w:r>
      <w:r w:rsidR="004D4DF1">
        <w:rPr>
          <w:rFonts w:ascii="Times New Roman" w:eastAsia="Times New Roman" w:hAnsi="Times New Roman" w:cs="Times New Roman"/>
          <w:sz w:val="24"/>
          <w:szCs w:val="24"/>
          <w:lang w:val="en-US"/>
        </w:rPr>
        <w:t>ly to individuals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077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However, by providing the opportunity to understand and </w:t>
      </w:r>
      <w:r w:rsidR="004D4DF1">
        <w:rPr>
          <w:rFonts w:ascii="Times New Roman" w:eastAsia="Times New Roman" w:hAnsi="Times New Roman" w:cs="Times New Roman"/>
          <w:sz w:val="24"/>
          <w:szCs w:val="24"/>
          <w:lang w:val="en-US"/>
        </w:rPr>
        <w:t>influence</w:t>
      </w:r>
      <w:r w:rsidR="009077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behaviors of billions of people around the world, the era of big data </w:t>
      </w:r>
      <w:r w:rsidR="001A3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encourages </w:t>
      </w:r>
      <w:r w:rsidR="00F51E3A">
        <w:rPr>
          <w:rFonts w:ascii="Times New Roman" w:eastAsia="Times New Roman" w:hAnsi="Times New Roman" w:cs="Times New Roman"/>
          <w:sz w:val="24"/>
          <w:szCs w:val="24"/>
          <w:lang w:val="en-US"/>
        </w:rPr>
        <w:t>– and possibl</w:t>
      </w:r>
      <w:r w:rsidR="00086370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F51E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77E5">
        <w:rPr>
          <w:rFonts w:ascii="Times New Roman" w:eastAsia="Times New Roman" w:hAnsi="Times New Roman" w:cs="Times New Roman"/>
          <w:sz w:val="24"/>
          <w:szCs w:val="24"/>
          <w:lang w:val="en-US"/>
        </w:rPr>
        <w:t>requires</w:t>
      </w:r>
      <w:r w:rsidR="00F51E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B91C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4DF1">
        <w:rPr>
          <w:rFonts w:ascii="Times New Roman" w:eastAsia="Times New Roman" w:hAnsi="Times New Roman" w:cs="Times New Roman"/>
          <w:sz w:val="24"/>
          <w:szCs w:val="24"/>
          <w:lang w:val="en-US"/>
        </w:rPr>
        <w:t>us</w:t>
      </w:r>
      <w:r w:rsidR="00B91C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7E035E">
        <w:rPr>
          <w:rFonts w:ascii="Times New Roman" w:eastAsia="Times New Roman" w:hAnsi="Times New Roman" w:cs="Times New Roman"/>
          <w:sz w:val="24"/>
          <w:szCs w:val="24"/>
          <w:lang w:val="en-US"/>
        </w:rPr>
        <w:t>think bigger</w:t>
      </w:r>
      <w:r w:rsidR="004D4DF1">
        <w:rPr>
          <w:rFonts w:ascii="Times New Roman" w:eastAsia="Times New Roman" w:hAnsi="Times New Roman" w:cs="Times New Roman"/>
          <w:sz w:val="24"/>
          <w:szCs w:val="24"/>
          <w:lang w:val="en-US"/>
        </w:rPr>
        <w:t>. In this new world, small effects can still matter.</w:t>
      </w:r>
    </w:p>
    <w:p w14:paraId="1912B1A9" w14:textId="012D38FC" w:rsidR="00206C6B" w:rsidRDefault="00A83A9C" w:rsidP="00D71075">
      <w:pPr>
        <w:spacing w:line="48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A83A9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fldChar w:fldCharType="begin" w:fldLock="1"/>
      </w:r>
      <w:r w:rsidR="00B5523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instrText>ADDIN CSL_CITATION { "citationItems" : [ { "id" : "ITEM-1", "itemData" : { "author" : [ { "dropping-particle" : "", "family" : "Cortina", "given" : "Jose M", "non-dropping-particle" : "", "parse-names" : false, "suffix" : "" }, { "dropping-particle" : "", "family" : "Landis", "given" : "Ronald S", "non-dropping-particle" : "", "parse-names" : false, "suffix" : "" } ], "container-title" : "Statistical and methodological myths and urban legends: Doctrine, verity and fable in the organizational and social sciences", "editor" : [ { "dropping-particle" : "", "family" : "Lance", "given" : "Charles E", "non-dropping-particle" : "", "parse-names" : false, "suffix" : "" }, { "dropping-particle" : "", "family" : "Vandenberg", "given" : "Robert J", "non-dropping-particle" : "", "parse-names" : false, "suffix" : "" } ], "id" : "ITEM-1", "issued" : { "date-parts" : [ [ "2009" ] ] }, "page" : "287-308", "publisher" : "Routledge New York", "title" : "When small effect sizes tell a big story, and when large effect sizes don\u2019t", "type" : "chapter" }, "uris" : [ "http://www.mendeley.com/documents/?uuid=2d1688b1-72f6-4802-b3b6-a49536a701e3" ] } ], "mendeley" : { "formattedCitation" : "(Cortina &amp; Landis, 2009)", "plainTextFormattedCitation" : "(Cortina &amp; Landis, 2009)", "previouslyFormattedCitation" : "(Cortina &amp; Landis, 2009)" }, "properties" : { "noteIndex" : 0 }, "schema" : "https://github.com/citation-style-language/schema/raw/master/csl-citation.json" }</w:instrText>
      </w:r>
      <w:r w:rsidRPr="00A83A9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fldChar w:fldCharType="separate"/>
      </w:r>
      <w:r w:rsidR="00597118" w:rsidRPr="0059711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val="en-US"/>
        </w:rPr>
        <w:t>(Cortina &amp; Landis, 2009)</w:t>
      </w:r>
      <w:r w:rsidRPr="00A83A9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fldChar w:fldCharType="end"/>
      </w:r>
    </w:p>
    <w:p w14:paraId="29DED683" w14:textId="77777777" w:rsidR="00F710AC" w:rsidRPr="00206C6B" w:rsidRDefault="00F710AC" w:rsidP="00F7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206C6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fldChar w:fldCharType="begin" w:fldLock="1"/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instrText>ADDIN CSL_CITATION { "citationItems" : [ { "id" : "ITEM-1", "itemData" : { "author" : [ { "dropping-particle" : "", "family" : "Boyce", "given" : "Christopher", "non-dropping-particle" : "", "parse-names" : false, "suffix" : "" }, { "dropping-particle" : "", "family" : "Daly", "given" : "Michael", "non-dropping-particle" : "", "parse-names" : false, "suffix" : "" }, { "dropping-particle" : "", "family" : "Hounkpatin", "given" : "Hilda", "non-dropping-particle" : "", "parse-names" : false, "suffix" : "" }, { "dropping-particle" : "", "family" : "Wood", "given" : "Alex", "non-dropping-particle" : "", "parse-names" : false, "suffix" : "" } ], "container-title" : "Psychological Science", "id" : "ITEM-1", "issued" : { "date-parts" : [ [ "0" ] ] }, "title" : "Money may buy happiness, but so little that it often doesn't matter", "type" : "article-journal" }, "uris" : [ "http://www.mendeley.com/documents/?uuid=888a2c15-4d78-4ea5-9d44-06a38158cb90" ] } ], "mendeley" : { "formattedCitation" : "(Boyce, Daly, Hounkpatin, &amp; Wood, n.d.)", "plainTextFormattedCitation" : "(Boyce, Daly, Hounkpatin, &amp; Wood, n.d.)", "previouslyFormattedCitation" : "(Boyce, Daly, Hounkpatin, &amp; Wood, n.d.)" }, "properties" : { "noteIndex" : 0 }, "schema" : "https://github.com/citation-style-language/schema/raw/master/csl-citation.json" }</w:instrText>
      </w:r>
      <w:r w:rsidRPr="00206C6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fldChar w:fldCharType="separate"/>
      </w:r>
      <w:r w:rsidRPr="00206C6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val="en-US"/>
        </w:rPr>
        <w:t>(Boyce, Daly, Hounkpatin, &amp; Wood, n.d.)</w:t>
      </w:r>
      <w:r w:rsidRPr="00206C6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fldChar w:fldCharType="end"/>
      </w:r>
    </w:p>
    <w:p w14:paraId="08907B82" w14:textId="77777777" w:rsidR="00F710AC" w:rsidRPr="00A83A9C" w:rsidRDefault="00F710AC" w:rsidP="00D71075">
      <w:pPr>
        <w:spacing w:line="48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14:paraId="5262CDB3" w14:textId="77777777" w:rsidR="00F710AC" w:rsidRDefault="00F710AC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101C7E46" w14:textId="64D8207A" w:rsidR="001B5751" w:rsidRDefault="001B5751" w:rsidP="00D7107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21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0272DD90" w14:textId="7A9C9DA2" w:rsidR="00B5523C" w:rsidRPr="000B262C" w:rsidRDefault="00206C6B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="00B5523C"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Abelson, R. P. (1985). A variance explanation paradox: When a little is a lot. </w:t>
      </w:r>
      <w:r w:rsidR="00B5523C"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Psychological Bulletin</w:t>
      </w:r>
      <w:r w:rsidR="00B5523C"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="00B5523C"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97</w:t>
      </w:r>
      <w:r w:rsidR="00B5523C"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(1), 129.</w:t>
      </w:r>
    </w:p>
    <w:p w14:paraId="0BAA8E78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Banerjee, A. V, &amp; Duflo, E. (2007). The economic lives of the poor.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 Journal of Economic Perspectives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21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(1), 141–167.</w:t>
      </w:r>
    </w:p>
    <w:p w14:paraId="29284B11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Bertamini, M., &amp; Munafò, M. R. (2012). Bite-size science and its undesired side effects.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Perspectives on Psychological Science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7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(1), 67–71.</w:t>
      </w:r>
    </w:p>
    <w:p w14:paraId="09D4A1DD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Bower, G. H. (1981). Mood and memory.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American Psychologist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36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(2), 129. JOUR.</w:t>
      </w:r>
    </w:p>
    <w:p w14:paraId="3D524595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Boyce, C., Daly, M., Hounkpatin, H., &amp; Wood, A. (n.d.). Money may buy happiness, but so little that it often doesn’t matter.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Psychological Science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1844405B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Button, K. S., Ioannidis, J. P. A., Mokrysz, C., Nosek, B. A., Flint, J., Robinson, E. S. J., &amp; Munafò, M. R. (2013). Power failure: why small sample size undermines the reliability of neuroscience.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Nature Reviews Neuroscience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14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(5), 365–376.</w:t>
      </w:r>
    </w:p>
    <w:p w14:paraId="0D65AF57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Collaboration, O. S. (2015). Estimating the reproducibility of psychological science.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Science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349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(6251), aac4716.</w:t>
      </w:r>
    </w:p>
    <w:p w14:paraId="11044CA3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Cortina, J. M., &amp; Landis, R. S. (2009). When small effect sizes tell a big story, and when large effect sizes don’t. In C. E. Lance &amp; R. J. Vandenberg (Eds.),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Statistical and methodological myths and urban legends: Doctrine, verity and fable in the organizational and social sciences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(pp. 287–308). Routledge New York.</w:t>
      </w:r>
    </w:p>
    <w:p w14:paraId="6CFCCD3F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Diener, E., &amp; Lucas, R. E. (1999). 11 Personality and Subjective Well-Being.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Well-Being: Foundations of Hedonic Psychology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, 213.</w:t>
      </w:r>
    </w:p>
    <w:p w14:paraId="395AE764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Kline, D. B. (2014). How many customers does Amazon have? Retrieved from http://www.fool.com/investing/general/2014/05/24/how-many-customers-does-amazon-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have.aspx</w:t>
      </w:r>
    </w:p>
    <w:p w14:paraId="6F6BCAC1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Kosinski, M., Matz, S. C., Gosling, S. D., Popov, V., &amp; Stillwell, D. (2015). Facebook as a Research Tool for the Social Sciences.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American Psychologist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70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(6), 543–556.</w:t>
      </w:r>
    </w:p>
    <w:p w14:paraId="154E4FBE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McCrae, R. R., &amp; Costa, P. T. (1994). The stability of personality: Observations and evaluations.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Current Directions in Psychological Science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3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(6), 173–175.</w:t>
      </w:r>
    </w:p>
    <w:p w14:paraId="7855E8CA" w14:textId="77777777" w:rsidR="00B5523C" w:rsidRPr="000B262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McKee-Ryan, F., Song, Z., Wanberg, C. R., &amp; Kinicki, A. J. (2005). Psychological and physical well-being during unemployment: a meta-analytic study.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Applied Psychology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26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90</w:t>
      </w: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>(1), 53.</w:t>
      </w:r>
    </w:p>
    <w:p w14:paraId="12D07323" w14:textId="77777777" w:rsidR="00B5523C" w:rsidRPr="00B5523C" w:rsidRDefault="00B5523C" w:rsidP="00B5523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0B26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Powdthavee, N. (2008). Putting a price tag on friends, relatives, and neighbours: Using surveys of life satisfaction to value social relationships. </w:t>
      </w:r>
      <w:r w:rsidRPr="00B5523C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Socio-Economics</w:t>
      </w:r>
      <w:r w:rsidRPr="00B552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5523C">
        <w:rPr>
          <w:rFonts w:ascii="Times New Roman" w:hAnsi="Times New Roman" w:cs="Times New Roman"/>
          <w:i/>
          <w:iCs/>
          <w:noProof/>
          <w:sz w:val="24"/>
          <w:szCs w:val="24"/>
        </w:rPr>
        <w:t>37</w:t>
      </w:r>
      <w:r w:rsidRPr="00B5523C">
        <w:rPr>
          <w:rFonts w:ascii="Times New Roman" w:hAnsi="Times New Roman" w:cs="Times New Roman"/>
          <w:noProof/>
          <w:sz w:val="24"/>
          <w:szCs w:val="24"/>
        </w:rPr>
        <w:t>(4), 1459–1480.</w:t>
      </w:r>
    </w:p>
    <w:p w14:paraId="6E788499" w14:textId="744FE9AC" w:rsidR="00F24137" w:rsidRDefault="00206C6B" w:rsidP="00D7107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38C472BB" w14:textId="63725011" w:rsidR="0060074B" w:rsidRDefault="0060074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337677BD" w14:textId="6BB56C61" w:rsidR="0060074B" w:rsidRDefault="0060074B" w:rsidP="00D7107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Online Material</w:t>
      </w:r>
    </w:p>
    <w:tbl>
      <w:tblPr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417"/>
        <w:gridCol w:w="709"/>
        <w:gridCol w:w="709"/>
        <w:gridCol w:w="284"/>
        <w:gridCol w:w="710"/>
        <w:gridCol w:w="424"/>
        <w:gridCol w:w="922"/>
        <w:gridCol w:w="851"/>
        <w:gridCol w:w="922"/>
      </w:tblGrid>
      <w:tr w:rsidR="0060074B" w:rsidRPr="001C1D17" w14:paraId="451FEC5B" w14:textId="77777777" w:rsidTr="0060074B"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D590B05" w14:textId="77777777" w:rsidR="0060074B" w:rsidRPr="001C1D17" w:rsidRDefault="0060074B" w:rsidP="00326A4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4CCA7E" w14:textId="77777777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89AAE" w14:textId="36AD1EF5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Simulation Model 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22D336" w14:textId="77777777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BBF3763" w14:textId="77777777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0D9BD5" w14:textId="65B5C9A2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Simulation Model 2</w:t>
            </w:r>
          </w:p>
        </w:tc>
      </w:tr>
      <w:tr w:rsidR="0060074B" w:rsidRPr="001C1D17" w14:paraId="71814741" w14:textId="77777777" w:rsidTr="00556582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BB3ED0" w14:textId="77777777" w:rsidR="0060074B" w:rsidRPr="001C1D17" w:rsidRDefault="0060074B" w:rsidP="00326A48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65B702" w14:textId="0EAE2E43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2AB4E6" w14:textId="7EEE9189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SE(B)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7FC0CF" w14:textId="03EDF8AE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6AA7FC" w14:textId="1E01434E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BB2C83" w14:textId="77777777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77FBF" w14:textId="29A6B3D0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09DC9A48" w14:textId="6258A6FC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SE(B)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A91336" w14:textId="0A052F23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6F17721A" w14:textId="01BCBCF1" w:rsidR="0060074B" w:rsidRPr="001C1D17" w:rsidRDefault="0060074B" w:rsidP="00326A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t</w:t>
            </w:r>
          </w:p>
        </w:tc>
      </w:tr>
      <w:tr w:rsidR="001C1D17" w:rsidRPr="001C1D17" w14:paraId="3A159D72" w14:textId="77777777" w:rsidTr="00A80C2E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7738A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B-P-match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8383066" w14:textId="65AC986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EA5ACE4" w14:textId="3566243F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73AE170" w14:textId="7452D2DF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E69FFD" w14:textId="0420346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STLiti" w:hAnsi="Times New Roman" w:cs="Times New Roman"/>
              </w:rPr>
              <w:t>0.46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947BD0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15E984D" w14:textId="461B2C8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STLiti" w:hAnsi="Times New Roman" w:cs="Times New Roman"/>
              </w:rPr>
              <w:t>-0.004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5505B596" w14:textId="109B4BB8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STLiti" w:hAnsi="Times New Roman" w:cs="Times New Roman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23B69B2" w14:textId="60E390B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57141FD2" w14:textId="2DDB82B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STLiti" w:hAnsi="Times New Roman" w:cs="Times New Roman"/>
              </w:rPr>
              <w:t>-0.12</w:t>
            </w:r>
          </w:p>
        </w:tc>
      </w:tr>
      <w:tr w:rsidR="001C1D17" w:rsidRPr="001C1D17" w14:paraId="01AC6690" w14:textId="77777777" w:rsidTr="00A80C2E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A45F64D" w14:textId="0AEF8304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Income (log)</w:t>
            </w:r>
          </w:p>
        </w:tc>
        <w:tc>
          <w:tcPr>
            <w:tcW w:w="709" w:type="dxa"/>
            <w:vAlign w:val="bottom"/>
          </w:tcPr>
          <w:p w14:paraId="1906EAA6" w14:textId="2A89580F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417" w:type="dxa"/>
            <w:vAlign w:val="bottom"/>
          </w:tcPr>
          <w:p w14:paraId="3964B3C1" w14:textId="720402C0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709" w:type="dxa"/>
            <w:vAlign w:val="bottom"/>
          </w:tcPr>
          <w:p w14:paraId="4208D008" w14:textId="28709BD1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709" w:type="dxa"/>
            <w:vAlign w:val="bottom"/>
          </w:tcPr>
          <w:p w14:paraId="6750B798" w14:textId="4329C5C0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1.70</w:t>
            </w:r>
          </w:p>
        </w:tc>
        <w:tc>
          <w:tcPr>
            <w:tcW w:w="284" w:type="dxa"/>
            <w:vAlign w:val="center"/>
          </w:tcPr>
          <w:p w14:paraId="1EA0432C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53DB99E" w14:textId="2181DEC3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922" w:type="dxa"/>
            <w:vAlign w:val="bottom"/>
          </w:tcPr>
          <w:p w14:paraId="2C069294" w14:textId="0E4B9C0F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51" w:type="dxa"/>
            <w:vAlign w:val="bottom"/>
          </w:tcPr>
          <w:p w14:paraId="1B959983" w14:textId="05AEAE4A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922" w:type="dxa"/>
            <w:vAlign w:val="bottom"/>
          </w:tcPr>
          <w:p w14:paraId="133209BE" w14:textId="19610143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</w:t>
            </w:r>
          </w:p>
        </w:tc>
      </w:tr>
      <w:tr w:rsidR="001C1D17" w:rsidRPr="001C1D17" w14:paraId="44F85F9E" w14:textId="77777777" w:rsidTr="00A80C2E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89DF4D5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09" w:type="dxa"/>
            <w:vAlign w:val="bottom"/>
          </w:tcPr>
          <w:p w14:paraId="6EC66E76" w14:textId="1EEA6EA5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417" w:type="dxa"/>
            <w:vAlign w:val="bottom"/>
          </w:tcPr>
          <w:p w14:paraId="4D8891F6" w14:textId="22A38330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709" w:type="dxa"/>
            <w:vAlign w:val="bottom"/>
          </w:tcPr>
          <w:p w14:paraId="14569111" w14:textId="03165C7F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709" w:type="dxa"/>
            <w:vAlign w:val="bottom"/>
          </w:tcPr>
          <w:p w14:paraId="0B547631" w14:textId="349435F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284" w:type="dxa"/>
            <w:vAlign w:val="center"/>
          </w:tcPr>
          <w:p w14:paraId="4246F7E3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7A0A13F" w14:textId="41716441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</w:t>
            </w:r>
          </w:p>
        </w:tc>
        <w:tc>
          <w:tcPr>
            <w:tcW w:w="922" w:type="dxa"/>
            <w:vAlign w:val="bottom"/>
          </w:tcPr>
          <w:p w14:paraId="2856C94D" w14:textId="361FE828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51" w:type="dxa"/>
            <w:vAlign w:val="bottom"/>
          </w:tcPr>
          <w:p w14:paraId="5BABC5BA" w14:textId="1CEEF7B5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</w:t>
            </w:r>
          </w:p>
        </w:tc>
        <w:tc>
          <w:tcPr>
            <w:tcW w:w="922" w:type="dxa"/>
            <w:vAlign w:val="bottom"/>
          </w:tcPr>
          <w:p w14:paraId="24755987" w14:textId="310CB68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-0.40</w:t>
            </w:r>
          </w:p>
        </w:tc>
      </w:tr>
      <w:tr w:rsidR="001C1D17" w:rsidRPr="001C1D17" w14:paraId="71E0AAC4" w14:textId="77777777" w:rsidTr="00A80C2E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779067F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09" w:type="dxa"/>
            <w:vAlign w:val="bottom"/>
          </w:tcPr>
          <w:p w14:paraId="48FADE4C" w14:textId="75EC9AB5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1417" w:type="dxa"/>
            <w:vAlign w:val="bottom"/>
          </w:tcPr>
          <w:p w14:paraId="5B2EF13C" w14:textId="10F7FC88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709" w:type="dxa"/>
            <w:vAlign w:val="bottom"/>
          </w:tcPr>
          <w:p w14:paraId="43E63624" w14:textId="0BE73720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-0.09</w:t>
            </w:r>
          </w:p>
        </w:tc>
        <w:tc>
          <w:tcPr>
            <w:tcW w:w="709" w:type="dxa"/>
            <w:vAlign w:val="bottom"/>
          </w:tcPr>
          <w:p w14:paraId="32E96CA8" w14:textId="34E7D938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4555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-2.23</w:t>
            </w:r>
          </w:p>
        </w:tc>
        <w:tc>
          <w:tcPr>
            <w:tcW w:w="284" w:type="dxa"/>
            <w:vAlign w:val="center"/>
          </w:tcPr>
          <w:p w14:paraId="3FFA250D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A6C2A27" w14:textId="011A188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922" w:type="dxa"/>
            <w:vAlign w:val="bottom"/>
          </w:tcPr>
          <w:p w14:paraId="229A107B" w14:textId="198A490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851" w:type="dxa"/>
            <w:vAlign w:val="bottom"/>
          </w:tcPr>
          <w:p w14:paraId="4DD6DFD6" w14:textId="16A1931A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-0.12</w:t>
            </w:r>
          </w:p>
        </w:tc>
        <w:tc>
          <w:tcPr>
            <w:tcW w:w="922" w:type="dxa"/>
            <w:vAlign w:val="bottom"/>
          </w:tcPr>
          <w:p w14:paraId="0B771155" w14:textId="4FC27696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-2.69</w:t>
            </w:r>
          </w:p>
        </w:tc>
      </w:tr>
      <w:tr w:rsidR="001C1D17" w:rsidRPr="001C1D17" w14:paraId="16420887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B71B415" w14:textId="231D5EB6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Total spend (log)</w:t>
            </w:r>
          </w:p>
        </w:tc>
        <w:tc>
          <w:tcPr>
            <w:tcW w:w="709" w:type="dxa"/>
            <w:vAlign w:val="center"/>
          </w:tcPr>
          <w:p w14:paraId="441641E6" w14:textId="799B110C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24EAFE35" w14:textId="6376AC12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626EF13" w14:textId="575C1C77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EAE921A" w14:textId="03BCEAA9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0A27E65C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7BD1517" w14:textId="38C7291C" w:rsidR="001C1D17" w:rsidRPr="001C1D17" w:rsidRDefault="001C1D17" w:rsidP="001C1D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922" w:type="dxa"/>
            <w:vAlign w:val="bottom"/>
          </w:tcPr>
          <w:p w14:paraId="6BDED9A3" w14:textId="4B80EB77" w:rsidR="001C1D17" w:rsidRPr="001C1D17" w:rsidRDefault="001C1D17" w:rsidP="001C1D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51" w:type="dxa"/>
            <w:vAlign w:val="bottom"/>
          </w:tcPr>
          <w:p w14:paraId="5F502A97" w14:textId="2BD61B55" w:rsidR="001C1D17" w:rsidRPr="001C1D17" w:rsidRDefault="001C1D17" w:rsidP="001C1D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922" w:type="dxa"/>
            <w:vAlign w:val="bottom"/>
          </w:tcPr>
          <w:p w14:paraId="217EBDBF" w14:textId="4FE36352" w:rsidR="001C1D17" w:rsidRPr="001C1D17" w:rsidRDefault="001C1D17" w:rsidP="001C1D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</w:tr>
      <w:tr w:rsidR="001C1D17" w:rsidRPr="001C1D17" w14:paraId="7C684205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3040695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Person-O</w:t>
            </w:r>
          </w:p>
        </w:tc>
        <w:tc>
          <w:tcPr>
            <w:tcW w:w="709" w:type="dxa"/>
            <w:vAlign w:val="center"/>
          </w:tcPr>
          <w:p w14:paraId="5C7D52D3" w14:textId="4CE9E495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EDF5A8B" w14:textId="5AB41A96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771C039" w14:textId="5A3430E3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9A163EE" w14:textId="0182F851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6F838EB4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5068927" w14:textId="443DABF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922" w:type="dxa"/>
            <w:vAlign w:val="bottom"/>
          </w:tcPr>
          <w:p w14:paraId="06C85717" w14:textId="0CFA3BA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51" w:type="dxa"/>
            <w:vAlign w:val="bottom"/>
          </w:tcPr>
          <w:p w14:paraId="4774F2E1" w14:textId="4F9516B3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922" w:type="dxa"/>
            <w:vAlign w:val="bottom"/>
          </w:tcPr>
          <w:p w14:paraId="4EC1D07E" w14:textId="724C3EC4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1.16</w:t>
            </w:r>
          </w:p>
        </w:tc>
      </w:tr>
      <w:tr w:rsidR="001C1D17" w:rsidRPr="001C1D17" w14:paraId="6CAE5512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6B9A843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Person-C</w:t>
            </w:r>
          </w:p>
        </w:tc>
        <w:tc>
          <w:tcPr>
            <w:tcW w:w="709" w:type="dxa"/>
            <w:vAlign w:val="center"/>
          </w:tcPr>
          <w:p w14:paraId="5B78E249" w14:textId="43F2FF45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78E0374" w14:textId="4A6CC37C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00E74B4" w14:textId="1F44520D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2E27596D" w14:textId="187CE144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369E6DBC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6E4958B" w14:textId="0604898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</w:t>
            </w: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922" w:type="dxa"/>
            <w:vAlign w:val="bottom"/>
          </w:tcPr>
          <w:p w14:paraId="3A49E3F1" w14:textId="6807890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51" w:type="dxa"/>
            <w:vAlign w:val="bottom"/>
          </w:tcPr>
          <w:p w14:paraId="619FEA80" w14:textId="2594AB18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22" w:type="dxa"/>
            <w:vAlign w:val="bottom"/>
          </w:tcPr>
          <w:p w14:paraId="3FBA6480" w14:textId="6921122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  <w:r w:rsidRPr="001C1D1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</w:tr>
      <w:tr w:rsidR="001C1D17" w:rsidRPr="001C1D17" w14:paraId="0DEE061F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70273D2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Person-E</w:t>
            </w:r>
          </w:p>
        </w:tc>
        <w:tc>
          <w:tcPr>
            <w:tcW w:w="709" w:type="dxa"/>
            <w:vAlign w:val="center"/>
          </w:tcPr>
          <w:p w14:paraId="342228DD" w14:textId="5C37DD6C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D867D94" w14:textId="49944177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92672B5" w14:textId="1B0C918B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4B8C61B2" w14:textId="09DABD22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638CB5B7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8241555" w14:textId="0421807B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922" w:type="dxa"/>
            <w:vAlign w:val="bottom"/>
          </w:tcPr>
          <w:p w14:paraId="0B532E48" w14:textId="144AB079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51" w:type="dxa"/>
            <w:vAlign w:val="bottom"/>
          </w:tcPr>
          <w:p w14:paraId="04F8295D" w14:textId="537477EE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922" w:type="dxa"/>
            <w:vAlign w:val="bottom"/>
          </w:tcPr>
          <w:p w14:paraId="11232FD0" w14:textId="0CE47C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2.26</w:t>
            </w:r>
          </w:p>
        </w:tc>
      </w:tr>
      <w:tr w:rsidR="001C1D17" w:rsidRPr="001C1D17" w14:paraId="702322FE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F6D98A4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Person-A</w:t>
            </w:r>
          </w:p>
        </w:tc>
        <w:tc>
          <w:tcPr>
            <w:tcW w:w="709" w:type="dxa"/>
            <w:vAlign w:val="center"/>
          </w:tcPr>
          <w:p w14:paraId="2A85D36D" w14:textId="66364C87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6B0CBC36" w14:textId="57A04EC4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0F3D537" w14:textId="4C384CA6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29D459F" w14:textId="27966EA6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4684D514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0EF44D1" w14:textId="1060D7DE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922" w:type="dxa"/>
            <w:vAlign w:val="bottom"/>
          </w:tcPr>
          <w:p w14:paraId="262FFCFD" w14:textId="6E46252E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51" w:type="dxa"/>
            <w:vAlign w:val="bottom"/>
          </w:tcPr>
          <w:p w14:paraId="1EA2A687" w14:textId="3629D8DA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922" w:type="dxa"/>
            <w:vAlign w:val="bottom"/>
          </w:tcPr>
          <w:p w14:paraId="1A094184" w14:textId="3487A0FF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</w:tr>
      <w:tr w:rsidR="001C1D17" w:rsidRPr="001C1D17" w14:paraId="2E1BDE58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F025367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Person-N</w:t>
            </w:r>
          </w:p>
        </w:tc>
        <w:tc>
          <w:tcPr>
            <w:tcW w:w="709" w:type="dxa"/>
            <w:vAlign w:val="center"/>
          </w:tcPr>
          <w:p w14:paraId="674643E6" w14:textId="4C22BE25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DA7B236" w14:textId="3BFA9B8E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9B500E3" w14:textId="26E15D44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56C8B6B" w14:textId="511F955B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602D84DA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D4E7822" w14:textId="140D452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-0.23</w:t>
            </w:r>
          </w:p>
        </w:tc>
        <w:tc>
          <w:tcPr>
            <w:tcW w:w="922" w:type="dxa"/>
            <w:vAlign w:val="bottom"/>
          </w:tcPr>
          <w:p w14:paraId="5663A17E" w14:textId="5C21E0B9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51" w:type="dxa"/>
            <w:vAlign w:val="bottom"/>
          </w:tcPr>
          <w:p w14:paraId="5887AB23" w14:textId="7E70F28A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-0.27</w:t>
            </w:r>
          </w:p>
        </w:tc>
        <w:tc>
          <w:tcPr>
            <w:tcW w:w="922" w:type="dxa"/>
            <w:vAlign w:val="bottom"/>
          </w:tcPr>
          <w:p w14:paraId="47374341" w14:textId="5238203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-6.09</w:t>
            </w:r>
          </w:p>
        </w:tc>
      </w:tr>
      <w:tr w:rsidR="001C1D17" w:rsidRPr="001C1D17" w14:paraId="09E3696A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E2DA59D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Extremity</w:t>
            </w:r>
          </w:p>
        </w:tc>
        <w:tc>
          <w:tcPr>
            <w:tcW w:w="709" w:type="dxa"/>
            <w:vAlign w:val="center"/>
          </w:tcPr>
          <w:p w14:paraId="38377B76" w14:textId="6BE568E1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88286C" w14:textId="182E7513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0F7EF0E" w14:textId="2EC3AED4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98386CF" w14:textId="43B1AB59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25D7894B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8BAD0C5" w14:textId="1AB6FBF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-0.05</w:t>
            </w:r>
          </w:p>
        </w:tc>
        <w:tc>
          <w:tcPr>
            <w:tcW w:w="922" w:type="dxa"/>
            <w:vAlign w:val="bottom"/>
          </w:tcPr>
          <w:p w14:paraId="11E7FD32" w14:textId="78ECF5A3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51" w:type="dxa"/>
            <w:vAlign w:val="bottom"/>
          </w:tcPr>
          <w:p w14:paraId="6513E5B3" w14:textId="4E15A60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</w:t>
            </w:r>
          </w:p>
        </w:tc>
        <w:tc>
          <w:tcPr>
            <w:tcW w:w="922" w:type="dxa"/>
            <w:vAlign w:val="bottom"/>
          </w:tcPr>
          <w:p w14:paraId="0BE922A9" w14:textId="4E38C60E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-0.47</w:t>
            </w:r>
          </w:p>
        </w:tc>
      </w:tr>
      <w:tr w:rsidR="001C1D17" w:rsidRPr="001C1D17" w14:paraId="7BB586A6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44FCDF0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Product-O</w:t>
            </w:r>
          </w:p>
        </w:tc>
        <w:tc>
          <w:tcPr>
            <w:tcW w:w="709" w:type="dxa"/>
            <w:vAlign w:val="center"/>
          </w:tcPr>
          <w:p w14:paraId="349C6680" w14:textId="5AF57EF7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6F150F25" w14:textId="494E0F40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A343DE7" w14:textId="2416CC8A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5F2E5B2" w14:textId="12074B0E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22629CD5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C274F93" w14:textId="35987649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-0.11</w:t>
            </w:r>
          </w:p>
        </w:tc>
        <w:tc>
          <w:tcPr>
            <w:tcW w:w="922" w:type="dxa"/>
            <w:vAlign w:val="bottom"/>
          </w:tcPr>
          <w:p w14:paraId="4B249D15" w14:textId="34FEA2F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51" w:type="dxa"/>
            <w:vAlign w:val="bottom"/>
          </w:tcPr>
          <w:p w14:paraId="45A10A5F" w14:textId="2F8FF566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-0.13</w:t>
            </w:r>
          </w:p>
        </w:tc>
        <w:tc>
          <w:tcPr>
            <w:tcW w:w="922" w:type="dxa"/>
            <w:vAlign w:val="bottom"/>
          </w:tcPr>
          <w:p w14:paraId="56AB10EF" w14:textId="7312EC63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-1.67</w:t>
            </w:r>
          </w:p>
        </w:tc>
      </w:tr>
      <w:tr w:rsidR="001C1D17" w:rsidRPr="001C1D17" w14:paraId="6FF20FBF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DFB88BC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Product-C</w:t>
            </w:r>
          </w:p>
        </w:tc>
        <w:tc>
          <w:tcPr>
            <w:tcW w:w="709" w:type="dxa"/>
            <w:vAlign w:val="center"/>
          </w:tcPr>
          <w:p w14:paraId="35B98D02" w14:textId="1714B40E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2A63512E" w14:textId="52ABF0AD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E5E414E" w14:textId="19B19597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3F2E282E" w14:textId="3CD703C5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68C837B6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40E3A80" w14:textId="27BEAC68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922" w:type="dxa"/>
            <w:vAlign w:val="bottom"/>
          </w:tcPr>
          <w:p w14:paraId="10E7243C" w14:textId="58E8E0FB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51" w:type="dxa"/>
            <w:vAlign w:val="bottom"/>
          </w:tcPr>
          <w:p w14:paraId="7CA6C1C8" w14:textId="40C61821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922" w:type="dxa"/>
            <w:vAlign w:val="bottom"/>
          </w:tcPr>
          <w:p w14:paraId="0E65BC36" w14:textId="380381F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1.18</w:t>
            </w:r>
          </w:p>
        </w:tc>
      </w:tr>
      <w:tr w:rsidR="001C1D17" w:rsidRPr="001C1D17" w14:paraId="13BA1AB2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4531211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Product-E</w:t>
            </w:r>
          </w:p>
        </w:tc>
        <w:tc>
          <w:tcPr>
            <w:tcW w:w="709" w:type="dxa"/>
            <w:vAlign w:val="center"/>
          </w:tcPr>
          <w:p w14:paraId="71E8DD6E" w14:textId="104C4D43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D83BB34" w14:textId="293D024D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24FD3DA" w14:textId="4CC471F5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1B15F48" w14:textId="1FB87270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5CA11922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B4E0E3C" w14:textId="790BD6CB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922" w:type="dxa"/>
            <w:vAlign w:val="bottom"/>
          </w:tcPr>
          <w:p w14:paraId="6C84E850" w14:textId="563C333D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51" w:type="dxa"/>
            <w:vAlign w:val="bottom"/>
          </w:tcPr>
          <w:p w14:paraId="53A5BA72" w14:textId="0A988E2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922" w:type="dxa"/>
            <w:vAlign w:val="bottom"/>
          </w:tcPr>
          <w:p w14:paraId="41D14112" w14:textId="799E694D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1.87</w:t>
            </w:r>
          </w:p>
        </w:tc>
      </w:tr>
      <w:tr w:rsidR="001C1D17" w:rsidRPr="001C1D17" w14:paraId="4D3893DC" w14:textId="77777777" w:rsidTr="0081744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59ED942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Product-A</w:t>
            </w:r>
          </w:p>
        </w:tc>
        <w:tc>
          <w:tcPr>
            <w:tcW w:w="709" w:type="dxa"/>
            <w:vAlign w:val="center"/>
          </w:tcPr>
          <w:p w14:paraId="1A019477" w14:textId="5A3CC474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9A96AC1" w14:textId="248E1B91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690008D" w14:textId="2754B55F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3713992" w14:textId="020AEC50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14:paraId="29BA4625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A21C471" w14:textId="5E8690FC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922" w:type="dxa"/>
            <w:vAlign w:val="bottom"/>
          </w:tcPr>
          <w:p w14:paraId="2C7A1C70" w14:textId="6B750DFA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51" w:type="dxa"/>
            <w:vAlign w:val="bottom"/>
          </w:tcPr>
          <w:p w14:paraId="3576BA0D" w14:textId="1992DBD8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922" w:type="dxa"/>
            <w:vAlign w:val="bottom"/>
          </w:tcPr>
          <w:p w14:paraId="63A1B20D" w14:textId="4D3A971F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1.53</w:t>
            </w:r>
          </w:p>
        </w:tc>
      </w:tr>
      <w:tr w:rsidR="001C1D17" w:rsidRPr="001C1D17" w14:paraId="4F3F958F" w14:textId="77777777" w:rsidTr="00817440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316C" w14:textId="77777777" w:rsidR="001C1D17" w:rsidRPr="001C1D17" w:rsidRDefault="001C1D17" w:rsidP="001C1D17">
            <w:pPr>
              <w:spacing w:before="40" w:after="40"/>
              <w:rPr>
                <w:rFonts w:ascii="Times New Roman" w:hAnsi="Times New Roman" w:cs="Times New Roman"/>
              </w:rPr>
            </w:pPr>
            <w:r w:rsidRPr="001C1D17">
              <w:rPr>
                <w:rFonts w:ascii="Times New Roman" w:hAnsi="Times New Roman" w:cs="Times New Roman"/>
              </w:rPr>
              <w:t>Product-N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ADAF2F" w14:textId="68496A0F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268BB1" w14:textId="7AC44A1C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7517A0" w14:textId="77BED087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C9FB8A" w14:textId="78186052" w:rsidR="001C1D17" w:rsidRPr="001C1D17" w:rsidRDefault="00F710AC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>
              <w:rPr>
                <w:rFonts w:ascii="Times New Roman" w:eastAsia="STLiti" w:hAnsi="Times New Roman" w:cs="Times New Roman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BC3A8E4" w14:textId="77777777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6C32D871" w14:textId="04A62862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14:paraId="75A647EE" w14:textId="7567F51D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86BB677" w14:textId="3208A73D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14:paraId="0722706C" w14:textId="5BC46CAE" w:rsidR="001C1D17" w:rsidRPr="001C1D17" w:rsidRDefault="001C1D17" w:rsidP="001C1D17">
            <w:pPr>
              <w:jc w:val="center"/>
              <w:rPr>
                <w:rFonts w:ascii="Times New Roman" w:eastAsia="STLiti" w:hAnsi="Times New Roman" w:cs="Times New Roman"/>
              </w:rPr>
            </w:pPr>
            <w:r w:rsidRPr="005565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</w:tr>
    </w:tbl>
    <w:p w14:paraId="2A0BA2D3" w14:textId="682C8957" w:rsidR="0060074B" w:rsidRPr="0060074B" w:rsidRDefault="0060074B" w:rsidP="00600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074B">
        <w:rPr>
          <w:rFonts w:ascii="Times New Roman" w:eastAsia="Times New Roman" w:hAnsi="Times New Roman" w:cs="Times New Roman"/>
          <w:sz w:val="24"/>
          <w:szCs w:val="24"/>
          <w:lang w:val="en-US"/>
        </w:rPr>
        <w:t>Note. In Model 1 the B-P match predictor reached significance in 35 out of the 1000 iterations. In Model 2 the B-P match predi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0074B">
        <w:rPr>
          <w:rFonts w:ascii="Times New Roman" w:eastAsia="Times New Roman" w:hAnsi="Times New Roman" w:cs="Times New Roman"/>
          <w:sz w:val="24"/>
          <w:szCs w:val="24"/>
          <w:lang w:val="en-US"/>
        </w:rPr>
        <w:t>tor reached significant in 23 out of 1000 iterations</w:t>
      </w:r>
    </w:p>
    <w:p w14:paraId="2B2A8E4D" w14:textId="77777777" w:rsidR="0060074B" w:rsidRDefault="0060074B" w:rsidP="0060074B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B15C5FC" w14:textId="12AA4063" w:rsidR="0060074B" w:rsidRDefault="0060074B" w:rsidP="00D7107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74D9ED" w14:textId="25D92946" w:rsidR="005A6B8F" w:rsidRDefault="005A6B8F" w:rsidP="00D7107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11238C" w14:textId="77777777" w:rsidR="005A6B8F" w:rsidRPr="00441BA5" w:rsidRDefault="005A6B8F" w:rsidP="00D7107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5A6B8F" w:rsidRPr="00441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05E1" w14:textId="77777777" w:rsidR="00AB2ADA" w:rsidRDefault="00AB2ADA" w:rsidP="005E07AA">
      <w:pPr>
        <w:spacing w:after="0" w:line="240" w:lineRule="auto"/>
      </w:pPr>
      <w:r>
        <w:separator/>
      </w:r>
    </w:p>
  </w:endnote>
  <w:endnote w:type="continuationSeparator" w:id="0">
    <w:p w14:paraId="63B14356" w14:textId="77777777" w:rsidR="00AB2ADA" w:rsidRDefault="00AB2ADA" w:rsidP="005E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TLiti"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73D6" w14:textId="77777777" w:rsidR="00AB2ADA" w:rsidRDefault="00AB2ADA" w:rsidP="005E07AA">
      <w:pPr>
        <w:spacing w:after="0" w:line="240" w:lineRule="auto"/>
      </w:pPr>
      <w:r>
        <w:separator/>
      </w:r>
    </w:p>
  </w:footnote>
  <w:footnote w:type="continuationSeparator" w:id="0">
    <w:p w14:paraId="6D0F4B16" w14:textId="77777777" w:rsidR="00AB2ADA" w:rsidRDefault="00AB2ADA" w:rsidP="005E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0E2"/>
    <w:multiLevelType w:val="hybridMultilevel"/>
    <w:tmpl w:val="FA1EE5FA"/>
    <w:lvl w:ilvl="0" w:tplc="266EC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3FA"/>
    <w:multiLevelType w:val="hybridMultilevel"/>
    <w:tmpl w:val="DB6C55CE"/>
    <w:lvl w:ilvl="0" w:tplc="7C761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81F"/>
    <w:multiLevelType w:val="hybridMultilevel"/>
    <w:tmpl w:val="97783E12"/>
    <w:lvl w:ilvl="0" w:tplc="250233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1FB3"/>
    <w:multiLevelType w:val="hybridMultilevel"/>
    <w:tmpl w:val="32369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694"/>
    <w:multiLevelType w:val="hybridMultilevel"/>
    <w:tmpl w:val="89DC2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1C6B"/>
    <w:multiLevelType w:val="hybridMultilevel"/>
    <w:tmpl w:val="8EACFF94"/>
    <w:lvl w:ilvl="0" w:tplc="32DC6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4574E"/>
    <w:multiLevelType w:val="hybridMultilevel"/>
    <w:tmpl w:val="6B062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35A5"/>
    <w:multiLevelType w:val="hybridMultilevel"/>
    <w:tmpl w:val="E1507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D69"/>
    <w:multiLevelType w:val="hybridMultilevel"/>
    <w:tmpl w:val="DCE836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C5C"/>
    <w:multiLevelType w:val="hybridMultilevel"/>
    <w:tmpl w:val="772444C6"/>
    <w:lvl w:ilvl="0" w:tplc="250233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9B"/>
    <w:rsid w:val="00013225"/>
    <w:rsid w:val="00020B17"/>
    <w:rsid w:val="00047183"/>
    <w:rsid w:val="000611BD"/>
    <w:rsid w:val="00061EB2"/>
    <w:rsid w:val="0006230D"/>
    <w:rsid w:val="000655F1"/>
    <w:rsid w:val="000671D2"/>
    <w:rsid w:val="00076DBA"/>
    <w:rsid w:val="00086370"/>
    <w:rsid w:val="000868DE"/>
    <w:rsid w:val="000A2A33"/>
    <w:rsid w:val="000A46F7"/>
    <w:rsid w:val="000B1A13"/>
    <w:rsid w:val="000B262C"/>
    <w:rsid w:val="000B6402"/>
    <w:rsid w:val="000E4C00"/>
    <w:rsid w:val="001013E8"/>
    <w:rsid w:val="00106FF8"/>
    <w:rsid w:val="001104D0"/>
    <w:rsid w:val="00127D24"/>
    <w:rsid w:val="00143267"/>
    <w:rsid w:val="001439DF"/>
    <w:rsid w:val="001500C1"/>
    <w:rsid w:val="00155D91"/>
    <w:rsid w:val="00160E63"/>
    <w:rsid w:val="00170AD3"/>
    <w:rsid w:val="00175706"/>
    <w:rsid w:val="001857FC"/>
    <w:rsid w:val="001A3958"/>
    <w:rsid w:val="001B5751"/>
    <w:rsid w:val="001C1D17"/>
    <w:rsid w:val="001D60D5"/>
    <w:rsid w:val="001D7538"/>
    <w:rsid w:val="001E19FB"/>
    <w:rsid w:val="001E2CD6"/>
    <w:rsid w:val="001E61A7"/>
    <w:rsid w:val="00206C6B"/>
    <w:rsid w:val="00207EDA"/>
    <w:rsid w:val="00210814"/>
    <w:rsid w:val="002129D4"/>
    <w:rsid w:val="00213EBE"/>
    <w:rsid w:val="00217B9B"/>
    <w:rsid w:val="002210E4"/>
    <w:rsid w:val="00230F4C"/>
    <w:rsid w:val="002527E2"/>
    <w:rsid w:val="00253E93"/>
    <w:rsid w:val="00260556"/>
    <w:rsid w:val="00290945"/>
    <w:rsid w:val="00293274"/>
    <w:rsid w:val="002A5410"/>
    <w:rsid w:val="002D15EA"/>
    <w:rsid w:val="002D624F"/>
    <w:rsid w:val="002F3B29"/>
    <w:rsid w:val="0033044E"/>
    <w:rsid w:val="003345D4"/>
    <w:rsid w:val="003366E9"/>
    <w:rsid w:val="00347BE1"/>
    <w:rsid w:val="00352115"/>
    <w:rsid w:val="003606A4"/>
    <w:rsid w:val="003734FE"/>
    <w:rsid w:val="00375D83"/>
    <w:rsid w:val="003D1AB4"/>
    <w:rsid w:val="003E00C1"/>
    <w:rsid w:val="003F3CBE"/>
    <w:rsid w:val="00406B9A"/>
    <w:rsid w:val="00411D40"/>
    <w:rsid w:val="0041309D"/>
    <w:rsid w:val="00436B1C"/>
    <w:rsid w:val="00440534"/>
    <w:rsid w:val="00441BA5"/>
    <w:rsid w:val="00444BA5"/>
    <w:rsid w:val="004508CA"/>
    <w:rsid w:val="00451743"/>
    <w:rsid w:val="004525A2"/>
    <w:rsid w:val="004555E5"/>
    <w:rsid w:val="00465AD5"/>
    <w:rsid w:val="0048116B"/>
    <w:rsid w:val="00487C9F"/>
    <w:rsid w:val="00495404"/>
    <w:rsid w:val="00497DEA"/>
    <w:rsid w:val="004A350A"/>
    <w:rsid w:val="004B0ACF"/>
    <w:rsid w:val="004B5EB9"/>
    <w:rsid w:val="004D033A"/>
    <w:rsid w:val="004D0CA8"/>
    <w:rsid w:val="004D16F7"/>
    <w:rsid w:val="004D405E"/>
    <w:rsid w:val="004D4DF1"/>
    <w:rsid w:val="00504CC0"/>
    <w:rsid w:val="00514FFA"/>
    <w:rsid w:val="00521056"/>
    <w:rsid w:val="0054246B"/>
    <w:rsid w:val="005452A6"/>
    <w:rsid w:val="00550889"/>
    <w:rsid w:val="00556582"/>
    <w:rsid w:val="00556F82"/>
    <w:rsid w:val="005606DE"/>
    <w:rsid w:val="00570590"/>
    <w:rsid w:val="00572F20"/>
    <w:rsid w:val="005736DD"/>
    <w:rsid w:val="0058174A"/>
    <w:rsid w:val="00584292"/>
    <w:rsid w:val="00595486"/>
    <w:rsid w:val="00597118"/>
    <w:rsid w:val="005A6B8F"/>
    <w:rsid w:val="005B1962"/>
    <w:rsid w:val="005B35C3"/>
    <w:rsid w:val="005C07D0"/>
    <w:rsid w:val="005C16E4"/>
    <w:rsid w:val="005E07AA"/>
    <w:rsid w:val="005E244A"/>
    <w:rsid w:val="005E5C30"/>
    <w:rsid w:val="005E70B5"/>
    <w:rsid w:val="005E70D4"/>
    <w:rsid w:val="005F2E7B"/>
    <w:rsid w:val="005F46D7"/>
    <w:rsid w:val="0060074B"/>
    <w:rsid w:val="00602E2E"/>
    <w:rsid w:val="00607383"/>
    <w:rsid w:val="00610098"/>
    <w:rsid w:val="0061346A"/>
    <w:rsid w:val="00631FE6"/>
    <w:rsid w:val="00637A87"/>
    <w:rsid w:val="00644621"/>
    <w:rsid w:val="00650292"/>
    <w:rsid w:val="006729D8"/>
    <w:rsid w:val="00673107"/>
    <w:rsid w:val="0067566F"/>
    <w:rsid w:val="006958BB"/>
    <w:rsid w:val="006A0028"/>
    <w:rsid w:val="006B2C95"/>
    <w:rsid w:val="006B7D01"/>
    <w:rsid w:val="006F6FB7"/>
    <w:rsid w:val="00701C1D"/>
    <w:rsid w:val="00730411"/>
    <w:rsid w:val="007440F1"/>
    <w:rsid w:val="007508E2"/>
    <w:rsid w:val="00751835"/>
    <w:rsid w:val="00755C0A"/>
    <w:rsid w:val="00761586"/>
    <w:rsid w:val="0076441B"/>
    <w:rsid w:val="007663ED"/>
    <w:rsid w:val="00776D53"/>
    <w:rsid w:val="007A0309"/>
    <w:rsid w:val="007B088A"/>
    <w:rsid w:val="007B3DF9"/>
    <w:rsid w:val="007C2252"/>
    <w:rsid w:val="007D25A6"/>
    <w:rsid w:val="007D46E9"/>
    <w:rsid w:val="007D6440"/>
    <w:rsid w:val="007E012B"/>
    <w:rsid w:val="007E035E"/>
    <w:rsid w:val="007E4CC4"/>
    <w:rsid w:val="007F19B0"/>
    <w:rsid w:val="007F1BDB"/>
    <w:rsid w:val="007F4C13"/>
    <w:rsid w:val="00805F12"/>
    <w:rsid w:val="00811159"/>
    <w:rsid w:val="0082160B"/>
    <w:rsid w:val="00832A9F"/>
    <w:rsid w:val="008406B4"/>
    <w:rsid w:val="00847BF3"/>
    <w:rsid w:val="00865E9D"/>
    <w:rsid w:val="008857DB"/>
    <w:rsid w:val="0089566A"/>
    <w:rsid w:val="008A4171"/>
    <w:rsid w:val="008B377A"/>
    <w:rsid w:val="008C0ECD"/>
    <w:rsid w:val="008C312D"/>
    <w:rsid w:val="008C3272"/>
    <w:rsid w:val="008D0542"/>
    <w:rsid w:val="008E1C67"/>
    <w:rsid w:val="008E3D3F"/>
    <w:rsid w:val="008F56EE"/>
    <w:rsid w:val="009077E5"/>
    <w:rsid w:val="00912DAB"/>
    <w:rsid w:val="00913981"/>
    <w:rsid w:val="00924732"/>
    <w:rsid w:val="00924766"/>
    <w:rsid w:val="009268E7"/>
    <w:rsid w:val="009406F6"/>
    <w:rsid w:val="00962200"/>
    <w:rsid w:val="00980A5B"/>
    <w:rsid w:val="009811B6"/>
    <w:rsid w:val="009812B6"/>
    <w:rsid w:val="009946A9"/>
    <w:rsid w:val="009A146B"/>
    <w:rsid w:val="009C5E1F"/>
    <w:rsid w:val="009D0A3E"/>
    <w:rsid w:val="009D3DAE"/>
    <w:rsid w:val="009D50AE"/>
    <w:rsid w:val="009E011F"/>
    <w:rsid w:val="009E34D7"/>
    <w:rsid w:val="009F4C7F"/>
    <w:rsid w:val="009F7C09"/>
    <w:rsid w:val="00A00F38"/>
    <w:rsid w:val="00A16399"/>
    <w:rsid w:val="00A16A9A"/>
    <w:rsid w:val="00A238DC"/>
    <w:rsid w:val="00A260DC"/>
    <w:rsid w:val="00A317DE"/>
    <w:rsid w:val="00A35BA3"/>
    <w:rsid w:val="00A57A71"/>
    <w:rsid w:val="00A73060"/>
    <w:rsid w:val="00A75B55"/>
    <w:rsid w:val="00A83A9C"/>
    <w:rsid w:val="00A84D45"/>
    <w:rsid w:val="00A95CA7"/>
    <w:rsid w:val="00AA6AA0"/>
    <w:rsid w:val="00AB2ADA"/>
    <w:rsid w:val="00AB2AEE"/>
    <w:rsid w:val="00AC4A04"/>
    <w:rsid w:val="00AD2888"/>
    <w:rsid w:val="00AD60B0"/>
    <w:rsid w:val="00AD7AF9"/>
    <w:rsid w:val="00AE1361"/>
    <w:rsid w:val="00AE3793"/>
    <w:rsid w:val="00B00E59"/>
    <w:rsid w:val="00B05250"/>
    <w:rsid w:val="00B12655"/>
    <w:rsid w:val="00B15583"/>
    <w:rsid w:val="00B31173"/>
    <w:rsid w:val="00B442D5"/>
    <w:rsid w:val="00B52ED9"/>
    <w:rsid w:val="00B54761"/>
    <w:rsid w:val="00B5523C"/>
    <w:rsid w:val="00B75FA2"/>
    <w:rsid w:val="00B76725"/>
    <w:rsid w:val="00B81038"/>
    <w:rsid w:val="00B8297D"/>
    <w:rsid w:val="00B91CC3"/>
    <w:rsid w:val="00BA5BE7"/>
    <w:rsid w:val="00BB7594"/>
    <w:rsid w:val="00BE180E"/>
    <w:rsid w:val="00BE26C7"/>
    <w:rsid w:val="00C0346E"/>
    <w:rsid w:val="00C14141"/>
    <w:rsid w:val="00C202A1"/>
    <w:rsid w:val="00C23E70"/>
    <w:rsid w:val="00C255C8"/>
    <w:rsid w:val="00C27A92"/>
    <w:rsid w:val="00C3518E"/>
    <w:rsid w:val="00C377D5"/>
    <w:rsid w:val="00C405CB"/>
    <w:rsid w:val="00C51D66"/>
    <w:rsid w:val="00C70672"/>
    <w:rsid w:val="00C71BAD"/>
    <w:rsid w:val="00C72DF5"/>
    <w:rsid w:val="00C85712"/>
    <w:rsid w:val="00C91B76"/>
    <w:rsid w:val="00CA21BF"/>
    <w:rsid w:val="00CB06E2"/>
    <w:rsid w:val="00CB7108"/>
    <w:rsid w:val="00CD0B1A"/>
    <w:rsid w:val="00CD46C5"/>
    <w:rsid w:val="00CD60FA"/>
    <w:rsid w:val="00CE73E5"/>
    <w:rsid w:val="00CF1525"/>
    <w:rsid w:val="00CF31CD"/>
    <w:rsid w:val="00D03758"/>
    <w:rsid w:val="00D14E9C"/>
    <w:rsid w:val="00D15309"/>
    <w:rsid w:val="00D16A11"/>
    <w:rsid w:val="00D30255"/>
    <w:rsid w:val="00D3043A"/>
    <w:rsid w:val="00D3583B"/>
    <w:rsid w:val="00D35D2C"/>
    <w:rsid w:val="00D4412B"/>
    <w:rsid w:val="00D46F20"/>
    <w:rsid w:val="00D62F5E"/>
    <w:rsid w:val="00D661B4"/>
    <w:rsid w:val="00D67B43"/>
    <w:rsid w:val="00D71075"/>
    <w:rsid w:val="00D734B3"/>
    <w:rsid w:val="00D76574"/>
    <w:rsid w:val="00D8435E"/>
    <w:rsid w:val="00D856F8"/>
    <w:rsid w:val="00D86E82"/>
    <w:rsid w:val="00DA08D0"/>
    <w:rsid w:val="00DC1521"/>
    <w:rsid w:val="00DC1E76"/>
    <w:rsid w:val="00DC797F"/>
    <w:rsid w:val="00DE3B0E"/>
    <w:rsid w:val="00DE5080"/>
    <w:rsid w:val="00E074B5"/>
    <w:rsid w:val="00E11037"/>
    <w:rsid w:val="00E424D2"/>
    <w:rsid w:val="00E43B1C"/>
    <w:rsid w:val="00E450DC"/>
    <w:rsid w:val="00E45C3E"/>
    <w:rsid w:val="00E50474"/>
    <w:rsid w:val="00E60550"/>
    <w:rsid w:val="00E63639"/>
    <w:rsid w:val="00E64F5F"/>
    <w:rsid w:val="00E6798A"/>
    <w:rsid w:val="00E73646"/>
    <w:rsid w:val="00E73C72"/>
    <w:rsid w:val="00E73CC0"/>
    <w:rsid w:val="00E73EC5"/>
    <w:rsid w:val="00E84116"/>
    <w:rsid w:val="00E95FFB"/>
    <w:rsid w:val="00EB790F"/>
    <w:rsid w:val="00EC4E82"/>
    <w:rsid w:val="00EC70D1"/>
    <w:rsid w:val="00ED1B2B"/>
    <w:rsid w:val="00ED3132"/>
    <w:rsid w:val="00EE1D9E"/>
    <w:rsid w:val="00EF30E7"/>
    <w:rsid w:val="00EF4C14"/>
    <w:rsid w:val="00F12310"/>
    <w:rsid w:val="00F13A51"/>
    <w:rsid w:val="00F2173C"/>
    <w:rsid w:val="00F22866"/>
    <w:rsid w:val="00F24137"/>
    <w:rsid w:val="00F25D19"/>
    <w:rsid w:val="00F3067E"/>
    <w:rsid w:val="00F40D79"/>
    <w:rsid w:val="00F51E3A"/>
    <w:rsid w:val="00F55A60"/>
    <w:rsid w:val="00F57776"/>
    <w:rsid w:val="00F60422"/>
    <w:rsid w:val="00F710AC"/>
    <w:rsid w:val="00F97D36"/>
    <w:rsid w:val="00FA7A83"/>
    <w:rsid w:val="00FB1B0B"/>
    <w:rsid w:val="00FC5301"/>
    <w:rsid w:val="00FC5FE5"/>
    <w:rsid w:val="00FD39C7"/>
    <w:rsid w:val="00FE186A"/>
    <w:rsid w:val="00FE233B"/>
    <w:rsid w:val="00FE2526"/>
    <w:rsid w:val="00FE79B3"/>
    <w:rsid w:val="00FF0110"/>
    <w:rsid w:val="00FF3108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7A84FB"/>
  <w15:docId w15:val="{C2C2B630-F61D-4D80-9522-ABB8D461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D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AA"/>
  </w:style>
  <w:style w:type="paragraph" w:styleId="Footer">
    <w:name w:val="footer"/>
    <w:basedOn w:val="Normal"/>
    <w:link w:val="FooterChar"/>
    <w:uiPriority w:val="99"/>
    <w:unhideWhenUsed/>
    <w:rsid w:val="005E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AA"/>
  </w:style>
  <w:style w:type="paragraph" w:styleId="Revision">
    <w:name w:val="Revision"/>
    <w:hidden/>
    <w:uiPriority w:val="99"/>
    <w:semiHidden/>
    <w:rsid w:val="003521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Authors">
    <w:name w:val="Authors"/>
    <w:basedOn w:val="Normal"/>
    <w:rsid w:val="00F710AC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F710AC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917@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8D2C-02B4-4529-84CF-6AE43D44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Matz</cp:lastModifiedBy>
  <cp:revision>5</cp:revision>
  <dcterms:created xsi:type="dcterms:W3CDTF">2017-01-30T12:47:00Z</dcterms:created>
  <dcterms:modified xsi:type="dcterms:W3CDTF">2017-03-22T11:31:00Z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1131e9c1-5ad4-399e-b4ba-a2c8871902ba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http://www.zotero.org/styles/journal-of-consumer-research</vt:lpwstr>
  </property>
  <property fmtid="{D5CDD505-2E9C-101B-9397-08002B2CF9AE}" pid="18" name="Mendeley Recent Style Name 6_1">
    <vt:lpwstr>Journal of Consumer Research</vt:lpwstr>
  </property>
  <property fmtid="{D5CDD505-2E9C-101B-9397-08002B2CF9AE}" pid="19" name="Mendeley Recent Style Id 7_1">
    <vt:lpwstr>http://www.zotero.org/styles/journal-of-marketing</vt:lpwstr>
  </property>
  <property fmtid="{D5CDD505-2E9C-101B-9397-08002B2CF9AE}" pid="20" name="Mendeley Recent Style Name 7_1">
    <vt:lpwstr>Journal of Marketing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